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tbl>
      <w:tblPr>
        <w:tblpPr w:leftFromText="141" w:rightFromText="141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B5C3F" w:rsidTr="00CF51B4">
        <w:trPr>
          <w:trHeight w:val="10892"/>
        </w:trPr>
        <w:tc>
          <w:tcPr>
            <w:tcW w:w="9212" w:type="dxa"/>
            <w:vAlign w:val="center"/>
          </w:tcPr>
          <w:p w:rsidR="00EB5C3F" w:rsidRDefault="00EB5C3F" w:rsidP="00CF51B4">
            <w:pPr>
              <w:pStyle w:val="Tekstpodstawowy"/>
              <w:spacing w:before="120"/>
              <w:ind w:firstLine="0"/>
              <w:jc w:val="center"/>
              <w:rPr>
                <w:rFonts w:ascii="Arial" w:hAnsi="Arial" w:cs="Arial"/>
                <w:b/>
                <w:bCs/>
                <w:sz w:val="48"/>
                <w:lang w:val="pl-PL"/>
              </w:rPr>
            </w:pPr>
            <w:r>
              <w:rPr>
                <w:rFonts w:ascii="Arial" w:hAnsi="Arial" w:cs="Arial"/>
                <w:b/>
                <w:bCs/>
                <w:sz w:val="48"/>
                <w:lang w:val="pl-PL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48"/>
                <w:lang w:val="pl-PL"/>
              </w:rPr>
              <w:instrText xml:space="preserve"> FILENAME </w:instrText>
            </w:r>
            <w:r>
              <w:rPr>
                <w:rFonts w:ascii="Arial" w:hAnsi="Arial" w:cs="Arial"/>
                <w:b/>
                <w:bCs/>
                <w:sz w:val="48"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48"/>
                <w:lang w:val="pl-PL"/>
              </w:rPr>
              <w:t xml:space="preserve">Metodyka szacowania ryzyka </w:t>
            </w:r>
            <w:r>
              <w:rPr>
                <w:rFonts w:ascii="Arial" w:hAnsi="Arial" w:cs="Arial"/>
                <w:b/>
                <w:bCs/>
                <w:sz w:val="48"/>
                <w:lang w:val="pl-PL"/>
              </w:rPr>
              <w:fldChar w:fldCharType="end"/>
            </w:r>
          </w:p>
          <w:p w:rsidR="003B22BB" w:rsidRDefault="003B22BB" w:rsidP="00CF51B4">
            <w:pPr>
              <w:pStyle w:val="Tekstpodstawowy"/>
              <w:spacing w:before="120"/>
              <w:ind w:firstLine="0"/>
              <w:jc w:val="center"/>
              <w:rPr>
                <w:rFonts w:ascii="Arial" w:hAnsi="Arial" w:cs="Arial"/>
                <w:b/>
                <w:bCs/>
                <w:sz w:val="48"/>
                <w:lang w:val="pl-PL"/>
              </w:rPr>
            </w:pPr>
            <w:r>
              <w:rPr>
                <w:rFonts w:ascii="Arial" w:hAnsi="Arial" w:cs="Arial"/>
                <w:b/>
                <w:bCs/>
                <w:sz w:val="48"/>
                <w:lang w:val="pl-PL"/>
              </w:rPr>
              <w:t>5S</w:t>
            </w:r>
          </w:p>
          <w:tbl>
            <w:tblPr>
              <w:tblStyle w:val="Tabela-Siatka"/>
              <w:tblpPr w:leftFromText="141" w:rightFromText="141" w:vertAnchor="text" w:horzAnchor="margin" w:tblpXSpec="center" w:tblpY="8273"/>
              <w:tblW w:w="6288" w:type="dxa"/>
              <w:tblLook w:val="04A0" w:firstRow="1" w:lastRow="0" w:firstColumn="1" w:lastColumn="0" w:noHBand="0" w:noVBand="1"/>
            </w:tblPr>
            <w:tblGrid>
              <w:gridCol w:w="3140"/>
              <w:gridCol w:w="3148"/>
            </w:tblGrid>
            <w:tr w:rsidR="00785FB2" w:rsidTr="00CA6678">
              <w:trPr>
                <w:trHeight w:val="435"/>
              </w:trPr>
              <w:tc>
                <w:tcPr>
                  <w:tcW w:w="3140" w:type="dxa"/>
                </w:tcPr>
                <w:p w:rsidR="00785FB2" w:rsidRPr="00062E2D" w:rsidRDefault="00785FB2" w:rsidP="00CF51B4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062E2D">
                    <w:rPr>
                      <w:rFonts w:ascii="Verdana" w:hAnsi="Verdana"/>
                      <w:i/>
                      <w:sz w:val="16"/>
                      <w:szCs w:val="16"/>
                    </w:rPr>
                    <w:t>Opracował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>: Instytut Kształcenia Menadżerów Jakości</w:t>
                  </w:r>
                </w:p>
              </w:tc>
              <w:tc>
                <w:tcPr>
                  <w:tcW w:w="3148" w:type="dxa"/>
                </w:tcPr>
                <w:p w:rsidR="00785FB2" w:rsidRPr="00062E2D" w:rsidRDefault="00785FB2" w:rsidP="00CF51B4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i/>
                      <w:sz w:val="16"/>
                      <w:szCs w:val="16"/>
                    </w:rPr>
                    <w:t>Zatwierdził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 xml:space="preserve">: </w:t>
                  </w:r>
                </w:p>
                <w:p w:rsidR="00785FB2" w:rsidRPr="00062E2D" w:rsidRDefault="00785FB2" w:rsidP="00CF51B4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062E2D">
                    <w:rPr>
                      <w:rFonts w:ascii="Verdana" w:hAnsi="Verdana"/>
                      <w:i/>
                      <w:sz w:val="16"/>
                      <w:szCs w:val="16"/>
                    </w:rPr>
                    <w:t>Imię i nazwisko: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 xml:space="preserve"> Katarzyna </w:t>
                  </w:r>
                  <w:proofErr w:type="spellStart"/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>Obłaza</w:t>
                  </w:r>
                  <w:proofErr w:type="spellEnd"/>
                </w:p>
                <w:p w:rsidR="00785FB2" w:rsidRPr="00062E2D" w:rsidRDefault="00785FB2" w:rsidP="00CF51B4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062E2D">
                    <w:rPr>
                      <w:rFonts w:ascii="Verdana" w:hAnsi="Verdana"/>
                      <w:i/>
                      <w:sz w:val="16"/>
                      <w:szCs w:val="16"/>
                    </w:rPr>
                    <w:t>Data: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 xml:space="preserve"> 2018-02-01</w:t>
                  </w:r>
                </w:p>
              </w:tc>
            </w:tr>
          </w:tbl>
          <w:p w:rsidR="00785FB2" w:rsidRDefault="00785FB2" w:rsidP="00CF51B4">
            <w:pPr>
              <w:pStyle w:val="Tekstpodstawowy"/>
              <w:spacing w:before="120"/>
              <w:ind w:firstLine="0"/>
              <w:rPr>
                <w:rFonts w:ascii="Arial" w:hAnsi="Arial" w:cs="Arial"/>
                <w:b/>
                <w:bCs/>
                <w:sz w:val="48"/>
                <w:lang w:val="pl-PL"/>
              </w:rPr>
            </w:pPr>
          </w:p>
        </w:tc>
      </w:tr>
    </w:tbl>
    <w:p w:rsidR="00EB5C3F" w:rsidRDefault="00EB5C3F" w:rsidP="002111C9">
      <w:pPr>
        <w:pStyle w:val="Nagwek"/>
        <w:tabs>
          <w:tab w:val="clear" w:pos="4536"/>
          <w:tab w:val="clear" w:pos="9072"/>
        </w:tabs>
        <w:rPr>
          <w:rStyle w:val="Numerstrony"/>
          <w:rFonts w:ascii="Verdana" w:hAnsi="Verdana" w:cs="Arial"/>
          <w:b/>
          <w:bCs/>
          <w:sz w:val="20"/>
          <w:szCs w:val="28"/>
          <w:u w:val="single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</w:rPr>
        <w:lastRenderedPageBreak/>
        <w:t xml:space="preserve">CEL </w:t>
      </w:r>
      <w:r>
        <w:rPr>
          <w:rStyle w:val="Numerstrony"/>
          <w:rFonts w:ascii="Verdana" w:hAnsi="Verdana" w:cs="Arial"/>
          <w:b/>
          <w:bCs/>
          <w:sz w:val="20"/>
          <w:szCs w:val="28"/>
          <w:u w:val="single"/>
        </w:rPr>
        <w:t>INSTRUKCJI</w:t>
      </w:r>
    </w:p>
    <w:p w:rsidR="003B22BB" w:rsidRPr="003B22BB" w:rsidRDefault="003B22BB" w:rsidP="003B22BB">
      <w:pPr>
        <w:pStyle w:val="Tekstpodstawowy"/>
        <w:ind w:firstLine="0"/>
        <w:rPr>
          <w:rStyle w:val="Numerstrony"/>
          <w:rFonts w:ascii="Verdana" w:hAnsi="Verdana" w:cs="Arial"/>
          <w:bCs/>
          <w:sz w:val="20"/>
          <w:szCs w:val="28"/>
          <w:lang w:val="pl-PL"/>
        </w:rPr>
      </w:pPr>
      <w:r w:rsidRPr="003B22BB">
        <w:rPr>
          <w:rStyle w:val="Numerstrony"/>
          <w:rFonts w:ascii="Verdana" w:hAnsi="Verdana" w:cs="Arial"/>
          <w:bCs/>
          <w:sz w:val="20"/>
          <w:szCs w:val="28"/>
          <w:lang w:val="pl-PL"/>
        </w:rPr>
        <w:t>Szerzenie świadomości zarządzania ryzykiem wśród kadry zarządzającej i pracowników oraz ustanowienie odpowiedzialności za zidentyfikowane ryzyka.</w:t>
      </w:r>
    </w:p>
    <w:p w:rsidR="003B22BB" w:rsidRPr="003B22BB" w:rsidRDefault="003B22BB" w:rsidP="003B22BB">
      <w:pPr>
        <w:pStyle w:val="Tekstpodstawowy"/>
        <w:ind w:firstLine="0"/>
        <w:rPr>
          <w:rStyle w:val="Numerstrony"/>
          <w:rFonts w:ascii="Verdana" w:hAnsi="Verdana" w:cs="Arial"/>
          <w:bCs/>
          <w:sz w:val="20"/>
          <w:szCs w:val="28"/>
          <w:lang w:val="pl-PL"/>
        </w:rPr>
      </w:pPr>
      <w:r w:rsidRPr="003B22BB">
        <w:rPr>
          <w:rStyle w:val="Numerstrony"/>
          <w:rFonts w:ascii="Verdana" w:hAnsi="Verdana" w:cs="Arial"/>
          <w:bCs/>
          <w:sz w:val="20"/>
          <w:szCs w:val="28"/>
          <w:lang w:val="pl-PL"/>
        </w:rPr>
        <w:t>Celem zarządzania ryzykiem jest zwiększenie efektywności i skuteczności realizowanych celów i zadań.</w:t>
      </w:r>
    </w:p>
    <w:p w:rsidR="00EB5C3F" w:rsidRPr="00B2752B" w:rsidRDefault="00EB5C3F" w:rsidP="00EB5C3F">
      <w:pPr>
        <w:pStyle w:val="Tekstpodstawowy"/>
        <w:ind w:firstLine="0"/>
        <w:rPr>
          <w:rFonts w:ascii="Verdana" w:hAnsi="Verdana" w:cs="Arial"/>
          <w:sz w:val="20"/>
          <w:lang w:val="pl-PL"/>
        </w:rPr>
      </w:pPr>
    </w:p>
    <w:p w:rsidR="00EB5C3F" w:rsidRDefault="00EB5C3F" w:rsidP="00EB5C3F">
      <w:pPr>
        <w:pStyle w:val="Tekstpodstawowy"/>
        <w:numPr>
          <w:ilvl w:val="0"/>
          <w:numId w:val="2"/>
        </w:numP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>PRZEDMIOT PROCEDURY</w:t>
      </w:r>
    </w:p>
    <w:p w:rsidR="00EB5C3F" w:rsidRDefault="00EB5C3F" w:rsidP="00EB5C3F">
      <w:pPr>
        <w:pStyle w:val="Tekstpodstawowy"/>
        <w:ind w:firstLine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Opis sposobu określania wartości poszczególnych ryzyk.</w:t>
      </w:r>
    </w:p>
    <w:p w:rsidR="00EB5C3F" w:rsidRPr="00355E20" w:rsidRDefault="00EB5C3F" w:rsidP="00EB5C3F">
      <w:pPr>
        <w:pStyle w:val="Tekstpodstawowy"/>
        <w:ind w:firstLine="0"/>
        <w:rPr>
          <w:rFonts w:ascii="Verdana" w:hAnsi="Verdana" w:cs="Arial"/>
          <w:sz w:val="20"/>
        </w:rPr>
      </w:pPr>
    </w:p>
    <w:p w:rsidR="00EB5C3F" w:rsidRDefault="00EB5C3F" w:rsidP="00EB5C3F">
      <w:pPr>
        <w:pStyle w:val="Tekstpodstawowy"/>
        <w:numPr>
          <w:ilvl w:val="0"/>
          <w:numId w:val="2"/>
        </w:numP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 xml:space="preserve">WŁAŚCICIEL </w:t>
      </w:r>
      <w: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>INSTRUKCJI</w:t>
      </w:r>
    </w:p>
    <w:p w:rsidR="00EB5C3F" w:rsidRPr="00961A62" w:rsidRDefault="00E213B0" w:rsidP="00EB5C3F">
      <w:pPr>
        <w:pStyle w:val="Tekstpodstawowy"/>
        <w:ind w:firstLine="0"/>
        <w:rPr>
          <w:rStyle w:val="Numerstrony"/>
          <w:rFonts w:ascii="Verdana" w:hAnsi="Verdana" w:cs="Arial"/>
          <w:bCs/>
          <w:sz w:val="20"/>
          <w:szCs w:val="28"/>
          <w:lang w:val="pl-PL"/>
        </w:rPr>
      </w:pPr>
      <w:r>
        <w:rPr>
          <w:rStyle w:val="Numerstrony"/>
          <w:rFonts w:ascii="Verdana" w:hAnsi="Verdana" w:cs="Arial"/>
          <w:bCs/>
          <w:sz w:val="20"/>
          <w:szCs w:val="28"/>
          <w:lang w:val="pl-PL"/>
        </w:rPr>
        <w:t xml:space="preserve">Pełnomocnik ds. </w:t>
      </w:r>
      <w:r w:rsidR="00EB5C3F">
        <w:rPr>
          <w:rStyle w:val="Numerstrony"/>
          <w:rFonts w:ascii="Verdana" w:hAnsi="Verdana" w:cs="Arial"/>
          <w:bCs/>
          <w:sz w:val="20"/>
          <w:szCs w:val="28"/>
          <w:lang w:val="pl-PL"/>
        </w:rPr>
        <w:t>SZ</w:t>
      </w:r>
      <w:r>
        <w:rPr>
          <w:rStyle w:val="Numerstrony"/>
          <w:rFonts w:ascii="Verdana" w:hAnsi="Verdana" w:cs="Arial"/>
          <w:bCs/>
          <w:sz w:val="20"/>
          <w:szCs w:val="28"/>
          <w:lang w:val="pl-PL"/>
        </w:rPr>
        <w:t>J</w:t>
      </w:r>
    </w:p>
    <w:p w:rsidR="00EB5C3F" w:rsidRPr="00B2752B" w:rsidRDefault="00EB5C3F" w:rsidP="00EB5C3F">
      <w:pPr>
        <w:pStyle w:val="Tekstpodstawowy"/>
        <w:ind w:firstLine="0"/>
        <w:rPr>
          <w:rFonts w:ascii="Verdana" w:hAnsi="Verdana" w:cs="Arial"/>
          <w:sz w:val="20"/>
          <w:lang w:val="pl-PL"/>
        </w:rPr>
      </w:pPr>
    </w:p>
    <w:p w:rsidR="00EB5C3F" w:rsidRDefault="00EB5C3F" w:rsidP="00EB5C3F">
      <w:pPr>
        <w:pStyle w:val="Tekstpodstawowy"/>
        <w:numPr>
          <w:ilvl w:val="0"/>
          <w:numId w:val="2"/>
        </w:numP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>OPIS SPOSOBU POSTĘPOWANIA</w:t>
      </w:r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0" w:name="_Toc471689306"/>
      <w:bookmarkStart w:id="1" w:name="_Toc471689342"/>
      <w:bookmarkStart w:id="2" w:name="_Toc471689619"/>
      <w:bookmarkStart w:id="3" w:name="_Toc471690585"/>
      <w:bookmarkStart w:id="4" w:name="_Toc471691187"/>
      <w:bookmarkStart w:id="5" w:name="_Toc471691212"/>
      <w:bookmarkStart w:id="6" w:name="_Toc471691418"/>
      <w:bookmarkEnd w:id="0"/>
      <w:bookmarkEnd w:id="1"/>
      <w:bookmarkEnd w:id="2"/>
      <w:bookmarkEnd w:id="3"/>
      <w:bookmarkEnd w:id="4"/>
      <w:bookmarkEnd w:id="5"/>
      <w:bookmarkEnd w:id="6"/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7" w:name="_Toc471689307"/>
      <w:bookmarkStart w:id="8" w:name="_Toc471689343"/>
      <w:bookmarkStart w:id="9" w:name="_Toc471689620"/>
      <w:bookmarkStart w:id="10" w:name="_Toc471690586"/>
      <w:bookmarkStart w:id="11" w:name="_Toc471691188"/>
      <w:bookmarkStart w:id="12" w:name="_Toc471691213"/>
      <w:bookmarkStart w:id="13" w:name="_Toc471691419"/>
      <w:bookmarkEnd w:id="7"/>
      <w:bookmarkEnd w:id="8"/>
      <w:bookmarkEnd w:id="9"/>
      <w:bookmarkEnd w:id="10"/>
      <w:bookmarkEnd w:id="11"/>
      <w:bookmarkEnd w:id="12"/>
      <w:bookmarkEnd w:id="13"/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14" w:name="_Toc471689308"/>
      <w:bookmarkStart w:id="15" w:name="_Toc471689344"/>
      <w:bookmarkStart w:id="16" w:name="_Toc471689621"/>
      <w:bookmarkStart w:id="17" w:name="_Toc471690587"/>
      <w:bookmarkStart w:id="18" w:name="_Toc471691189"/>
      <w:bookmarkStart w:id="19" w:name="_Toc471691214"/>
      <w:bookmarkStart w:id="20" w:name="_Toc471691420"/>
      <w:bookmarkEnd w:id="14"/>
      <w:bookmarkEnd w:id="15"/>
      <w:bookmarkEnd w:id="16"/>
      <w:bookmarkEnd w:id="17"/>
      <w:bookmarkEnd w:id="18"/>
      <w:bookmarkEnd w:id="19"/>
      <w:bookmarkEnd w:id="20"/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21" w:name="_Toc471689309"/>
      <w:bookmarkStart w:id="22" w:name="_Toc471689345"/>
      <w:bookmarkStart w:id="23" w:name="_Toc471689622"/>
      <w:bookmarkStart w:id="24" w:name="_Toc471690588"/>
      <w:bookmarkStart w:id="25" w:name="_Toc471691190"/>
      <w:bookmarkStart w:id="26" w:name="_Toc471691215"/>
      <w:bookmarkStart w:id="27" w:name="_Toc471691421"/>
      <w:bookmarkEnd w:id="21"/>
      <w:bookmarkEnd w:id="22"/>
      <w:bookmarkEnd w:id="23"/>
      <w:bookmarkEnd w:id="24"/>
      <w:bookmarkEnd w:id="25"/>
      <w:bookmarkEnd w:id="26"/>
      <w:bookmarkEnd w:id="27"/>
    </w:p>
    <w:p w:rsidR="003B22BB" w:rsidRPr="00FB54B5" w:rsidRDefault="003B22BB" w:rsidP="003B22BB">
      <w:pPr>
        <w:pStyle w:val="Nagwek2"/>
        <w:keepNext w:val="0"/>
        <w:numPr>
          <w:ilvl w:val="1"/>
          <w:numId w:val="2"/>
        </w:numPr>
        <w:contextualSpacing/>
        <w:rPr>
          <w:rFonts w:ascii="Verdana" w:eastAsiaTheme="minorHAnsi" w:hAnsi="Verdana"/>
          <w:sz w:val="20"/>
          <w:szCs w:val="20"/>
          <w:lang w:eastAsia="en-US"/>
        </w:rPr>
      </w:pPr>
      <w:bookmarkStart w:id="28" w:name="_Toc471691422"/>
      <w:r w:rsidRPr="00FB54B5">
        <w:rPr>
          <w:rFonts w:ascii="Verdana" w:eastAsiaTheme="minorHAnsi" w:hAnsi="Verdana"/>
          <w:sz w:val="20"/>
          <w:szCs w:val="20"/>
          <w:lang w:eastAsia="en-US"/>
        </w:rPr>
        <w:t>Identyfikacja ryzyka</w:t>
      </w:r>
      <w:bookmarkEnd w:id="28"/>
      <w:r w:rsidRPr="00FB54B5">
        <w:rPr>
          <w:rFonts w:ascii="Verdana" w:eastAsiaTheme="minorHAnsi" w:hAnsi="Verdana"/>
          <w:sz w:val="20"/>
          <w:szCs w:val="20"/>
          <w:lang w:eastAsia="en-US"/>
        </w:rPr>
        <w:t xml:space="preserve"> 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hanging="657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Identyfikacja ryzyka następuje poprzez analizę ustalonego kontekstu (otoczenia), weryfikację tych parametrów, które mogą przyczyniać się do pojawienia się ryzyka w przyszłości oraz badanie i zbieranie informacji o rozpoznanym ryzyku. Ryzyko może być rozpoznane jako zagrożenie lub niewykorzystana szansa.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Zaleca się korzystać z metod wspomagających identyfikację ryzyka, np. burzy mózgów oraz przeprowadzać identyfikację ryzyka w grupach składających się z przedstawicieli różnych poziomów struktury organizacyjnej.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Podczas identyfikacji ryzyka należy uwzględnić w szczególności: 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cele strategiczne;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cele operacyjne komórki organizacyjnej (w szczególności cele procesów);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wyniki audytów wewnętrznych i kontroli wewnętrznej oraz wyniki kontroli zewnętrznych związane w szczególności z osiąganiem celów i realizowaniem procesów / zadań / projektów;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wyniki wdrożenia reakcji na ryzyko z poprzedniej analizy, podjętej lub ustanowionej w celu ograniczenia lub przeciwdziałania wystąpieniu ryzyka.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Przy identyfikacji ryzyka w danym roku kalendarzowym można korzystać z </w:t>
      </w:r>
      <w:proofErr w:type="spellStart"/>
      <w:r w:rsidRPr="003B22BB">
        <w:rPr>
          <w:rFonts w:ascii="Verdana" w:hAnsi="Verdana"/>
          <w:b w:val="0"/>
          <w:sz w:val="20"/>
          <w:szCs w:val="20"/>
        </w:rPr>
        <w:t>ryzyk</w:t>
      </w:r>
      <w:proofErr w:type="spellEnd"/>
      <w:r w:rsidRPr="003B22BB">
        <w:rPr>
          <w:rFonts w:ascii="Verdana" w:hAnsi="Verdana"/>
          <w:b w:val="0"/>
          <w:sz w:val="20"/>
          <w:szCs w:val="20"/>
        </w:rPr>
        <w:t xml:space="preserve"> zidentyfikowanych w latach poprzednich. 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Ryzyko podlega przeglądowi co najmniej raz w roku nie później niż do końca marca za poprzedni rok kalendarzowy.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Za  identyfikację i przegląd </w:t>
      </w:r>
      <w:proofErr w:type="spellStart"/>
      <w:r w:rsidRPr="003B22BB">
        <w:rPr>
          <w:rFonts w:ascii="Verdana" w:hAnsi="Verdana"/>
          <w:b w:val="0"/>
          <w:sz w:val="20"/>
          <w:szCs w:val="20"/>
        </w:rPr>
        <w:t>ryzyk</w:t>
      </w:r>
      <w:proofErr w:type="spellEnd"/>
      <w:r w:rsidRPr="003B22BB">
        <w:rPr>
          <w:rFonts w:ascii="Verdana" w:hAnsi="Verdana"/>
          <w:b w:val="0"/>
          <w:sz w:val="20"/>
          <w:szCs w:val="20"/>
        </w:rPr>
        <w:t xml:space="preserve"> odpowiedzialny jest Pełnomocnik ds. SZJ wspólnie z Właścicielem procesu, któr</w:t>
      </w:r>
      <w:r w:rsidR="00FB54B5">
        <w:rPr>
          <w:rFonts w:ascii="Verdana" w:hAnsi="Verdana"/>
          <w:b w:val="0"/>
          <w:sz w:val="20"/>
          <w:szCs w:val="20"/>
        </w:rPr>
        <w:t>z</w:t>
      </w:r>
      <w:r w:rsidRPr="003B22BB">
        <w:rPr>
          <w:rFonts w:ascii="Verdana" w:hAnsi="Verdana"/>
          <w:b w:val="0"/>
          <w:sz w:val="20"/>
          <w:szCs w:val="20"/>
        </w:rPr>
        <w:t>y sporządza</w:t>
      </w:r>
      <w:r w:rsidR="00FB54B5">
        <w:rPr>
          <w:rFonts w:ascii="Verdana" w:hAnsi="Verdana"/>
          <w:b w:val="0"/>
          <w:sz w:val="20"/>
          <w:szCs w:val="20"/>
        </w:rPr>
        <w:t>ją</w:t>
      </w:r>
      <w:r w:rsidRPr="003B22BB">
        <w:rPr>
          <w:rFonts w:ascii="Verdana" w:hAnsi="Verdana"/>
          <w:b w:val="0"/>
          <w:sz w:val="20"/>
          <w:szCs w:val="20"/>
        </w:rPr>
        <w:t xml:space="preserve"> raport z przeglądu zgodnie z </w:t>
      </w:r>
      <w:r w:rsidR="00FB54B5">
        <w:rPr>
          <w:rFonts w:ascii="Verdana" w:hAnsi="Verdana"/>
          <w:b w:val="0"/>
          <w:sz w:val="20"/>
          <w:szCs w:val="20"/>
        </w:rPr>
        <w:t>formularzem</w:t>
      </w:r>
      <w:r w:rsidRPr="003B22BB">
        <w:rPr>
          <w:rFonts w:ascii="Verdana" w:hAnsi="Verdana"/>
          <w:b w:val="0"/>
          <w:sz w:val="20"/>
          <w:szCs w:val="20"/>
        </w:rPr>
        <w:t xml:space="preserve"> – </w:t>
      </w:r>
      <w:r w:rsidR="00FB54B5">
        <w:rPr>
          <w:rFonts w:ascii="Verdana" w:hAnsi="Verdana"/>
          <w:b w:val="0"/>
          <w:sz w:val="20"/>
          <w:szCs w:val="20"/>
        </w:rPr>
        <w:t>F</w:t>
      </w:r>
      <w:r w:rsidRPr="003B22BB">
        <w:rPr>
          <w:rFonts w:ascii="Verdana" w:hAnsi="Verdana"/>
          <w:b w:val="0"/>
          <w:sz w:val="20"/>
          <w:szCs w:val="20"/>
        </w:rPr>
        <w:t>4.2</w:t>
      </w:r>
      <w:r w:rsidR="00FB54B5">
        <w:rPr>
          <w:rFonts w:ascii="Verdana" w:hAnsi="Verdana"/>
          <w:b w:val="0"/>
          <w:sz w:val="20"/>
          <w:szCs w:val="20"/>
        </w:rPr>
        <w:t>.</w:t>
      </w:r>
      <w:r w:rsidRPr="003B22BB">
        <w:rPr>
          <w:rFonts w:ascii="Verdana" w:hAnsi="Verdana"/>
          <w:b w:val="0"/>
          <w:sz w:val="20"/>
          <w:szCs w:val="20"/>
        </w:rPr>
        <w:t xml:space="preserve">2 </w:t>
      </w:r>
      <w:r w:rsidR="00FB54B5">
        <w:rPr>
          <w:rFonts w:ascii="Verdana" w:hAnsi="Verdana"/>
          <w:b w:val="0"/>
          <w:sz w:val="20"/>
          <w:szCs w:val="20"/>
        </w:rPr>
        <w:t xml:space="preserve">Tabela </w:t>
      </w:r>
      <w:proofErr w:type="spellStart"/>
      <w:r w:rsidR="00FB54B5">
        <w:rPr>
          <w:rFonts w:ascii="Verdana" w:hAnsi="Verdana"/>
          <w:b w:val="0"/>
          <w:sz w:val="20"/>
          <w:szCs w:val="20"/>
        </w:rPr>
        <w:t>ryzyk</w:t>
      </w:r>
      <w:proofErr w:type="spellEnd"/>
      <w:r w:rsidRPr="003B22BB">
        <w:rPr>
          <w:rFonts w:ascii="Verdana" w:hAnsi="Verdana"/>
          <w:b w:val="0"/>
          <w:sz w:val="20"/>
          <w:szCs w:val="20"/>
        </w:rPr>
        <w:t xml:space="preserve">. 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W ramach rocznego </w:t>
      </w:r>
      <w:r w:rsidR="00FB54B5">
        <w:rPr>
          <w:rFonts w:ascii="Verdana" w:hAnsi="Verdana"/>
          <w:b w:val="0"/>
          <w:sz w:val="20"/>
          <w:szCs w:val="20"/>
        </w:rPr>
        <w:t xml:space="preserve">przeglądu </w:t>
      </w:r>
      <w:r w:rsidRPr="003B22BB">
        <w:rPr>
          <w:rFonts w:ascii="Verdana" w:hAnsi="Verdana"/>
          <w:b w:val="0"/>
          <w:sz w:val="20"/>
          <w:szCs w:val="20"/>
        </w:rPr>
        <w:t>Systemu Zarządzania</w:t>
      </w:r>
      <w:r w:rsidR="00FB54B5">
        <w:rPr>
          <w:rFonts w:ascii="Verdana" w:hAnsi="Verdana"/>
          <w:b w:val="0"/>
          <w:sz w:val="20"/>
          <w:szCs w:val="20"/>
        </w:rPr>
        <w:t xml:space="preserve"> Jakością</w:t>
      </w:r>
      <w:r w:rsidRPr="003B22BB">
        <w:rPr>
          <w:rFonts w:ascii="Verdana" w:hAnsi="Verdana"/>
          <w:b w:val="0"/>
          <w:sz w:val="20"/>
          <w:szCs w:val="20"/>
        </w:rPr>
        <w:t xml:space="preserve">  dokonuje  się przeglądu skuteczności wdrożonych planów postepowania z ryzykiem</w:t>
      </w:r>
      <w:r w:rsidR="00FB54B5">
        <w:rPr>
          <w:rFonts w:ascii="Verdana" w:hAnsi="Verdana"/>
          <w:b w:val="0"/>
          <w:sz w:val="20"/>
          <w:szCs w:val="20"/>
        </w:rPr>
        <w:t>.</w:t>
      </w:r>
      <w:r w:rsidRPr="003B22BB">
        <w:rPr>
          <w:rFonts w:ascii="Verdana" w:hAnsi="Verdana"/>
          <w:b w:val="0"/>
          <w:sz w:val="20"/>
          <w:szCs w:val="20"/>
        </w:rPr>
        <w:t xml:space="preserve"> </w:t>
      </w:r>
    </w:p>
    <w:p w:rsidR="003B22BB" w:rsidRPr="00FB54B5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b w:val="0"/>
          <w:sz w:val="20"/>
          <w:szCs w:val="20"/>
        </w:rPr>
        <w:t xml:space="preserve">W stosunku do każdego zidentyfikowanego ryzyka, które przekracza akceptowalny poziom, </w:t>
      </w:r>
      <w:r w:rsidRPr="00FB54B5">
        <w:rPr>
          <w:rFonts w:ascii="Verdana" w:hAnsi="Verdana"/>
          <w:sz w:val="20"/>
          <w:szCs w:val="20"/>
        </w:rPr>
        <w:t xml:space="preserve">Pełnomocnik ds. SZJ wspólnie z </w:t>
      </w:r>
      <w:r w:rsidRPr="00FB54B5">
        <w:rPr>
          <w:rFonts w:ascii="Verdana" w:hAnsi="Verdana"/>
          <w:b w:val="0"/>
          <w:sz w:val="20"/>
          <w:szCs w:val="20"/>
        </w:rPr>
        <w:t>Właściciel</w:t>
      </w:r>
      <w:r w:rsidRPr="00FB54B5">
        <w:rPr>
          <w:rFonts w:ascii="Verdana" w:hAnsi="Verdana"/>
          <w:sz w:val="20"/>
          <w:szCs w:val="20"/>
        </w:rPr>
        <w:t>em</w:t>
      </w:r>
      <w:r w:rsidRPr="00FB54B5">
        <w:rPr>
          <w:rFonts w:ascii="Verdana" w:hAnsi="Verdana"/>
          <w:b w:val="0"/>
          <w:sz w:val="20"/>
          <w:szCs w:val="20"/>
        </w:rPr>
        <w:t xml:space="preserve"> procesu jest zobowiązany planować odpowiednie mechanizmy kontrolne i działania zaradcze.</w:t>
      </w:r>
    </w:p>
    <w:p w:rsidR="003B22BB" w:rsidRPr="003B22BB" w:rsidRDefault="00FB54B5" w:rsidP="00FB54B5">
      <w:pPr>
        <w:pStyle w:val="Styl2"/>
        <w:numPr>
          <w:ilvl w:val="2"/>
          <w:numId w:val="2"/>
        </w:numPr>
        <w:ind w:left="1418" w:hanging="851"/>
        <w:jc w:val="both"/>
        <w:rPr>
          <w:rFonts w:ascii="Verdana" w:hAnsi="Verdana"/>
          <w:b w:val="0"/>
          <w:sz w:val="20"/>
          <w:szCs w:val="20"/>
        </w:rPr>
      </w:pPr>
      <w:r w:rsidRPr="00FB54B5">
        <w:rPr>
          <w:rFonts w:ascii="Verdana" w:hAnsi="Verdana"/>
          <w:b w:val="0"/>
          <w:sz w:val="20"/>
          <w:szCs w:val="20"/>
        </w:rPr>
        <w:t>Pełnomocnik ds. SZJ oraz właściciele procesów</w:t>
      </w:r>
      <w:r w:rsidR="003B22BB" w:rsidRPr="00FB54B5">
        <w:rPr>
          <w:rFonts w:ascii="Verdana" w:hAnsi="Verdana"/>
          <w:b w:val="0"/>
          <w:sz w:val="20"/>
          <w:szCs w:val="20"/>
        </w:rPr>
        <w:t>,</w:t>
      </w:r>
      <w:r w:rsidRPr="00FB54B5">
        <w:rPr>
          <w:rFonts w:ascii="Verdana" w:hAnsi="Verdana"/>
          <w:b w:val="0"/>
          <w:sz w:val="20"/>
          <w:szCs w:val="20"/>
        </w:rPr>
        <w:t xml:space="preserve"> </w:t>
      </w:r>
      <w:r w:rsidR="003B22BB" w:rsidRPr="003B22BB">
        <w:rPr>
          <w:rFonts w:ascii="Verdana" w:hAnsi="Verdana"/>
          <w:b w:val="0"/>
          <w:sz w:val="20"/>
          <w:szCs w:val="20"/>
        </w:rPr>
        <w:t>zobowiązani są do monitorowania ryzyka w celu odpowiedzi na pytania: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ryzyko nadal występuje?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pojawiło się nowe ryzyko?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prawdopodobieństwo i wpływ ryzyka uległy zmianie?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stosowane mechanizmy kontrolne są efektywne?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418" w:hanging="851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Monitorowanie ryzyka jest procesem ciągłym, w który zaangażowani są wszyscy pracownicy.</w:t>
      </w:r>
    </w:p>
    <w:p w:rsidR="003B22BB" w:rsidRDefault="003B22BB" w:rsidP="00FB54B5">
      <w:pPr>
        <w:pStyle w:val="Styl2"/>
        <w:numPr>
          <w:ilvl w:val="2"/>
          <w:numId w:val="2"/>
        </w:numPr>
        <w:ind w:left="1418" w:hanging="851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Ponadto </w:t>
      </w:r>
      <w:r w:rsidR="00FB54B5" w:rsidRPr="00FB54B5">
        <w:rPr>
          <w:rFonts w:ascii="Verdana" w:hAnsi="Verdana"/>
          <w:b w:val="0"/>
          <w:sz w:val="20"/>
          <w:szCs w:val="20"/>
        </w:rPr>
        <w:t>Pełnomocnik ds. SZJ oraz właściciele procesów</w:t>
      </w:r>
      <w:r w:rsidRPr="003B22BB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3B22BB">
        <w:rPr>
          <w:rFonts w:ascii="Verdana" w:hAnsi="Verdana"/>
          <w:b w:val="0"/>
          <w:sz w:val="20"/>
          <w:szCs w:val="20"/>
        </w:rPr>
        <w:t xml:space="preserve">mają obowiązek przeglądu wszystkich działań z zakresu zarządzania ryzykiem występujących w podległych jednostkach oraz realizowanych projektach, w celu zgłaszania poprzez Pełnomocnika ds. </w:t>
      </w:r>
      <w:r w:rsidR="00FB54B5">
        <w:rPr>
          <w:rFonts w:ascii="Verdana" w:hAnsi="Verdana"/>
          <w:b w:val="0"/>
          <w:sz w:val="20"/>
          <w:szCs w:val="20"/>
        </w:rPr>
        <w:t>SZJ</w:t>
      </w:r>
      <w:r w:rsidRPr="003B22BB">
        <w:rPr>
          <w:rFonts w:ascii="Verdana" w:hAnsi="Verdana"/>
          <w:b w:val="0"/>
          <w:sz w:val="20"/>
          <w:szCs w:val="20"/>
        </w:rPr>
        <w:t xml:space="preserve"> propozycji zwiększających ich skuteczność.</w:t>
      </w:r>
    </w:p>
    <w:p w:rsidR="00FB54B5" w:rsidRPr="003B22BB" w:rsidRDefault="00FB54B5" w:rsidP="00FB54B5">
      <w:pPr>
        <w:pStyle w:val="Styl2"/>
        <w:ind w:left="1418" w:firstLine="0"/>
        <w:jc w:val="both"/>
        <w:rPr>
          <w:rFonts w:ascii="Verdana" w:hAnsi="Verdana"/>
          <w:b w:val="0"/>
          <w:sz w:val="20"/>
          <w:szCs w:val="20"/>
        </w:rPr>
      </w:pPr>
    </w:p>
    <w:p w:rsidR="003B22BB" w:rsidRPr="00FB54B5" w:rsidRDefault="003B22BB" w:rsidP="00FB54B5">
      <w:pPr>
        <w:pStyle w:val="Nagwek2"/>
        <w:keepNext w:val="0"/>
        <w:numPr>
          <w:ilvl w:val="1"/>
          <w:numId w:val="2"/>
        </w:numPr>
        <w:contextualSpacing/>
        <w:rPr>
          <w:rFonts w:ascii="Verdana" w:eastAsiaTheme="minorHAnsi" w:hAnsi="Verdana"/>
          <w:sz w:val="20"/>
          <w:szCs w:val="20"/>
          <w:lang w:eastAsia="en-US"/>
        </w:rPr>
      </w:pPr>
      <w:bookmarkStart w:id="29" w:name="_Toc471691423"/>
      <w:r w:rsidRPr="00FB54B5">
        <w:rPr>
          <w:rFonts w:ascii="Verdana" w:eastAsiaTheme="minorHAnsi" w:hAnsi="Verdana"/>
          <w:sz w:val="20"/>
          <w:szCs w:val="20"/>
          <w:lang w:eastAsia="en-US"/>
        </w:rPr>
        <w:t>Szacowanie następstw (S)</w:t>
      </w:r>
      <w:bookmarkEnd w:id="29"/>
    </w:p>
    <w:p w:rsidR="003B22BB" w:rsidRPr="003B22BB" w:rsidRDefault="003B22BB" w:rsidP="003B22BB">
      <w:pPr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Szacowanie następstw odbywa się w skali od 1 do 5</w:t>
      </w:r>
    </w:p>
    <w:p w:rsidR="003B22BB" w:rsidRPr="003B22BB" w:rsidRDefault="003B22BB" w:rsidP="003B22BB">
      <w:pPr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 xml:space="preserve">Zakwalifikowanie następstw </w:t>
      </w:r>
      <w:proofErr w:type="spellStart"/>
      <w:r w:rsidRPr="003B22BB">
        <w:rPr>
          <w:rFonts w:ascii="Verdana" w:hAnsi="Verdana"/>
          <w:sz w:val="20"/>
          <w:szCs w:val="20"/>
        </w:rPr>
        <w:t>ryzyk</w:t>
      </w:r>
      <w:proofErr w:type="spellEnd"/>
      <w:r w:rsidRPr="003B22BB">
        <w:rPr>
          <w:rFonts w:ascii="Verdana" w:hAnsi="Verdana"/>
          <w:sz w:val="20"/>
          <w:szCs w:val="20"/>
        </w:rPr>
        <w:t xml:space="preserve"> do odpowiednich kategorii, powinno odbywać się zgodnie z poniższymi wytycznymi: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760"/>
        <w:gridCol w:w="4397"/>
      </w:tblGrid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</w:tcPr>
          <w:p w:rsidR="003B22BB" w:rsidRPr="00AD3A0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Poziom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Skutek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Opis</w:t>
            </w:r>
          </w:p>
        </w:tc>
      </w:tr>
      <w:tr w:rsidR="003B22BB" w:rsidRPr="00AD3A06" w:rsidTr="00F63EAB">
        <w:trPr>
          <w:trHeight w:val="924"/>
        </w:trPr>
        <w:tc>
          <w:tcPr>
            <w:tcW w:w="1428" w:type="dxa"/>
            <w:tcBorders>
              <w:bottom w:val="single" w:sz="4" w:space="0" w:color="auto"/>
            </w:tcBorders>
            <w:shd w:val="clear" w:color="auto" w:fill="0080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minimalny, pomijalny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Mała awaria</w:t>
            </w:r>
            <w:r w:rsidRPr="00AD3A06">
              <w:rPr>
                <w:rFonts w:ascii="Verdana" w:hAnsi="Verdana"/>
                <w:sz w:val="20"/>
              </w:rPr>
              <w:t xml:space="preserve"> mająca nikły wpływ na prawidłowe f</w:t>
            </w:r>
            <w:r>
              <w:rPr>
                <w:rFonts w:ascii="Verdana" w:hAnsi="Verdana"/>
                <w:sz w:val="20"/>
              </w:rPr>
              <w:t>unkcjonowanie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2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mało znaczący, niski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Średnia awaria</w:t>
            </w:r>
            <w:r w:rsidRPr="00AD3A06">
              <w:rPr>
                <w:rFonts w:ascii="Verdana" w:hAnsi="Verdana"/>
                <w:sz w:val="20"/>
              </w:rPr>
              <w:t xml:space="preserve">, nie mająca poważnego wpływu na </w:t>
            </w:r>
            <w:r>
              <w:rPr>
                <w:rFonts w:ascii="Verdana" w:hAnsi="Verdana"/>
                <w:sz w:val="20"/>
              </w:rPr>
              <w:t>działalność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3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sz w:val="20"/>
              </w:rPr>
              <w:t>skutek znaczący, umiarkowany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Duża awaria</w:t>
            </w:r>
            <w:r w:rsidRPr="00AD3A06">
              <w:rPr>
                <w:rFonts w:ascii="Verdana" w:hAnsi="Verdana"/>
                <w:sz w:val="20"/>
              </w:rPr>
              <w:t>, krótkotrwały poważny wpływ na prawidłowe fu</w:t>
            </w:r>
            <w:r>
              <w:rPr>
                <w:rFonts w:ascii="Verdana" w:hAnsi="Verdana"/>
                <w:sz w:val="20"/>
              </w:rPr>
              <w:t>nkcjonowanie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poważny, wysoki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Bardzo duża awaria</w:t>
            </w:r>
            <w:r w:rsidRPr="00AD3A06">
              <w:rPr>
                <w:rFonts w:ascii="Verdana" w:hAnsi="Verdana"/>
                <w:sz w:val="20"/>
              </w:rPr>
              <w:t>, poważny wpływ na prawidłowe fu</w:t>
            </w:r>
            <w:r>
              <w:rPr>
                <w:rFonts w:ascii="Verdana" w:hAnsi="Verdana"/>
                <w:sz w:val="20"/>
              </w:rPr>
              <w:t>nkcjonowanie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shd w:val="clear" w:color="auto" w:fill="FF00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katastrofalny, krytyczny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Katastrofa</w:t>
            </w:r>
            <w:r w:rsidRPr="00AD3A06">
              <w:rPr>
                <w:rFonts w:ascii="Verdana" w:hAnsi="Verdana"/>
                <w:sz w:val="20"/>
              </w:rPr>
              <w:t xml:space="preserve">, występuje zagrożenie dla kontynuacji </w:t>
            </w:r>
            <w:r>
              <w:rPr>
                <w:rFonts w:ascii="Verdana" w:hAnsi="Verdana"/>
                <w:sz w:val="20"/>
              </w:rPr>
              <w:t>działania organizacji 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</w:tbl>
    <w:p w:rsidR="003B22BB" w:rsidRDefault="003B22BB" w:rsidP="003B22BB">
      <w:pPr>
        <w:spacing w:after="200" w:line="276" w:lineRule="auto"/>
        <w:rPr>
          <w:rFonts w:asciiTheme="minorHAnsi" w:hAnsiTheme="minorHAnsi"/>
          <w:sz w:val="20"/>
          <w:szCs w:val="20"/>
        </w:rPr>
      </w:pPr>
    </w:p>
    <w:p w:rsidR="003B22BB" w:rsidRPr="00FB54B5" w:rsidRDefault="003B22BB" w:rsidP="00FB54B5">
      <w:pPr>
        <w:pStyle w:val="Styl2"/>
        <w:numPr>
          <w:ilvl w:val="1"/>
          <w:numId w:val="2"/>
        </w:numPr>
        <w:rPr>
          <w:rFonts w:ascii="Verdana" w:eastAsiaTheme="minorHAnsi" w:hAnsi="Verdana"/>
          <w:sz w:val="20"/>
          <w:szCs w:val="20"/>
          <w:lang w:eastAsia="en-US"/>
        </w:rPr>
      </w:pPr>
      <w:bookmarkStart w:id="30" w:name="_Toc471691424"/>
      <w:r w:rsidRPr="00FB54B5">
        <w:rPr>
          <w:rFonts w:ascii="Verdana" w:eastAsiaTheme="minorHAnsi" w:hAnsi="Verdana"/>
          <w:sz w:val="20"/>
          <w:szCs w:val="20"/>
          <w:lang w:eastAsia="en-US"/>
        </w:rPr>
        <w:t>Szacowanie prawdopodobieństwa (P)</w:t>
      </w:r>
      <w:bookmarkEnd w:id="30"/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Szacowanie prawdopodobieństwa wystąpienia odbywa się w skali od 1 do 5.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 xml:space="preserve">Oceniając prawdopodobieństwo należy, w miarę możliwości, bazować na danych historycznych. 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Jeżeli pracownicy nie są w stanie przypomnieć sobie występujących incydentów, należy oszacować możliwość pojawienia się takiego ryzyka na podstawie doświadczenia poszczególnych uczestników organizacji.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Zakwalifikowanie prawdopodobieństwa wystąpienia do odpowiednich kategorii, powinno odbywać się zgodnie z poniższymi wytycznymi:</w:t>
      </w:r>
    </w:p>
    <w:p w:rsidR="003B22BB" w:rsidRDefault="003B22BB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2792"/>
        <w:gridCol w:w="2650"/>
        <w:gridCol w:w="2416"/>
      </w:tblGrid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Poziom</w:t>
            </w: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Prawdopodobieństwo</w:t>
            </w: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Prawdopodobieństwo wystąpienia - P()</w:t>
            </w:r>
          </w:p>
        </w:tc>
        <w:tc>
          <w:tcPr>
            <w:tcW w:w="2416" w:type="dxa"/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Częstość wystąpienia (przykładowa)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80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1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Prawie niemożliwe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&lt; 0,01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</w:t>
            </w:r>
            <w:r w:rsidR="005251CC">
              <w:rPr>
                <w:rFonts w:ascii="Verdana" w:hAnsi="Verdana"/>
                <w:sz w:val="20"/>
              </w:rPr>
              <w:t>10</w:t>
            </w:r>
            <w:r w:rsidRPr="00DE2876">
              <w:rPr>
                <w:rFonts w:ascii="Verdana" w:hAnsi="Verdana"/>
                <w:sz w:val="20"/>
              </w:rPr>
              <w:t xml:space="preserve"> lat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2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Mało prawdopodobne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0,01 – 0,1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</w:t>
            </w:r>
            <w:r w:rsidR="005251CC">
              <w:rPr>
                <w:rFonts w:ascii="Verdana" w:hAnsi="Verdana"/>
                <w:sz w:val="20"/>
              </w:rPr>
              <w:t>5</w:t>
            </w:r>
            <w:r w:rsidRPr="00DE2876">
              <w:rPr>
                <w:rFonts w:ascii="Verdana" w:hAnsi="Verdana"/>
                <w:sz w:val="20"/>
              </w:rPr>
              <w:t xml:space="preserve"> lat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3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Umiarkowanie możliwe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0,1 – 0,2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</w:t>
            </w:r>
            <w:r w:rsidR="005251CC">
              <w:rPr>
                <w:rFonts w:ascii="Verdana" w:hAnsi="Verdana"/>
                <w:sz w:val="20"/>
              </w:rPr>
              <w:t>1 rok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4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Prawdopodobne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0,2 – 0,5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1 </w:t>
            </w:r>
            <w:r w:rsidR="005251CC">
              <w:rPr>
                <w:rFonts w:ascii="Verdana" w:hAnsi="Verdana"/>
                <w:sz w:val="20"/>
              </w:rPr>
              <w:t>miesiąc</w:t>
            </w:r>
          </w:p>
        </w:tc>
      </w:tr>
      <w:tr w:rsidR="003B22BB" w:rsidRPr="00DE2876" w:rsidTr="00F63EAB">
        <w:tc>
          <w:tcPr>
            <w:tcW w:w="1428" w:type="dxa"/>
            <w:shd w:val="clear" w:color="auto" w:fill="FF00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5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Prawie pewne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&gt; 0,5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1 </w:t>
            </w:r>
            <w:r w:rsidR="005251CC">
              <w:rPr>
                <w:rFonts w:ascii="Verdana" w:hAnsi="Verdana"/>
                <w:sz w:val="20"/>
              </w:rPr>
              <w:t>tydzień</w:t>
            </w:r>
          </w:p>
        </w:tc>
      </w:tr>
    </w:tbl>
    <w:p w:rsidR="00FB54B5" w:rsidRDefault="00FB54B5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p w:rsidR="00FB54B5" w:rsidRDefault="00FB54B5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page"/>
      </w:r>
    </w:p>
    <w:p w:rsidR="003B22BB" w:rsidRDefault="003B22BB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p w:rsidR="003B22BB" w:rsidRDefault="003B22BB" w:rsidP="00FB54B5">
      <w:pPr>
        <w:pStyle w:val="Styl2"/>
        <w:numPr>
          <w:ilvl w:val="1"/>
          <w:numId w:val="2"/>
        </w:numPr>
        <w:rPr>
          <w:rFonts w:ascii="Verdana" w:eastAsiaTheme="minorHAnsi" w:hAnsi="Verdana"/>
          <w:sz w:val="20"/>
          <w:szCs w:val="20"/>
          <w:lang w:eastAsia="en-US"/>
        </w:rPr>
      </w:pPr>
      <w:bookmarkStart w:id="31" w:name="_Toc471691425"/>
      <w:r w:rsidRPr="00FB54B5">
        <w:rPr>
          <w:rFonts w:ascii="Verdana" w:eastAsiaTheme="minorHAnsi" w:hAnsi="Verdana"/>
          <w:sz w:val="20"/>
          <w:szCs w:val="20"/>
          <w:lang w:eastAsia="en-US"/>
        </w:rPr>
        <w:t xml:space="preserve">Macierz </w:t>
      </w:r>
      <w:proofErr w:type="spellStart"/>
      <w:r w:rsidRPr="00FB54B5">
        <w:rPr>
          <w:rFonts w:ascii="Verdana" w:eastAsiaTheme="minorHAnsi" w:hAnsi="Verdana"/>
          <w:sz w:val="20"/>
          <w:szCs w:val="20"/>
          <w:lang w:eastAsia="en-US"/>
        </w:rPr>
        <w:t>ryzyk</w:t>
      </w:r>
      <w:bookmarkEnd w:id="31"/>
      <w:proofErr w:type="spellEnd"/>
    </w:p>
    <w:p w:rsidR="00FB54B5" w:rsidRPr="00FB54B5" w:rsidRDefault="00FB54B5" w:rsidP="00FB54B5">
      <w:pPr>
        <w:pStyle w:val="Styl2"/>
        <w:rPr>
          <w:rFonts w:ascii="Verdana" w:eastAsiaTheme="minorHAnsi" w:hAnsi="Verdana"/>
          <w:b w:val="0"/>
          <w:sz w:val="20"/>
          <w:szCs w:val="20"/>
          <w:lang w:eastAsia="en-US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Po ustaleniu skutków oraz prawdopodobieństwa wystąpienia ryzyka, możemy oszacować wartość ryzyka stosując poniższą tabelę: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1500"/>
        <w:gridCol w:w="978"/>
        <w:gridCol w:w="1659"/>
        <w:gridCol w:w="1605"/>
        <w:gridCol w:w="1777"/>
        <w:gridCol w:w="1302"/>
      </w:tblGrid>
      <w:tr w:rsidR="003B22BB" w:rsidRPr="00390BCE" w:rsidTr="00F63EAB">
        <w:tc>
          <w:tcPr>
            <w:tcW w:w="1965" w:type="dxa"/>
            <w:gridSpan w:val="2"/>
            <w:vMerge w:val="restart"/>
            <w:shd w:val="clear" w:color="auto" w:fill="E6E6E6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 xml:space="preserve">Macierz </w:t>
            </w:r>
            <w:proofErr w:type="spellStart"/>
            <w:r w:rsidRPr="00390BCE">
              <w:rPr>
                <w:rFonts w:ascii="Verdana" w:hAnsi="Verdana"/>
                <w:b/>
                <w:sz w:val="20"/>
              </w:rPr>
              <w:t>ryzyk</w:t>
            </w:r>
            <w:proofErr w:type="spellEnd"/>
          </w:p>
        </w:tc>
        <w:tc>
          <w:tcPr>
            <w:tcW w:w="7321" w:type="dxa"/>
            <w:gridSpan w:val="5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Prawdopodobieństwo wystąpienia</w:t>
            </w:r>
          </w:p>
        </w:tc>
      </w:tr>
      <w:tr w:rsidR="003B22BB" w:rsidRPr="00390BCE" w:rsidTr="00F63EAB">
        <w:tc>
          <w:tcPr>
            <w:tcW w:w="1965" w:type="dxa"/>
            <w:gridSpan w:val="2"/>
            <w:vMerge/>
            <w:shd w:val="clear" w:color="auto" w:fill="E6E6E6"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Prawie pewne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Prawdopodobne</w:t>
            </w: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Umiarkowanie możliwe</w:t>
            </w: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Mało prawdopodobne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Prawie niemożliwe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 w:val="restart"/>
            <w:textDirection w:val="btLr"/>
          </w:tcPr>
          <w:p w:rsidR="003B22BB" w:rsidRPr="00390BCE" w:rsidRDefault="003B22BB" w:rsidP="00F63EAB">
            <w:pPr>
              <w:ind w:left="113" w:right="113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Skutek wy</w:t>
            </w:r>
            <w:r w:rsidRPr="00390BCE">
              <w:rPr>
                <w:rFonts w:ascii="Verdana" w:hAnsi="Verdana"/>
                <w:b/>
                <w:sz w:val="20"/>
              </w:rPr>
              <w:t>stąpienia</w:t>
            </w: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katastrofalny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25</w:t>
            </w:r>
          </w:p>
        </w:tc>
        <w:tc>
          <w:tcPr>
            <w:tcW w:w="16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20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15</w:t>
            </w: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10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5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poważny</w:t>
            </w:r>
          </w:p>
        </w:tc>
        <w:tc>
          <w:tcPr>
            <w:tcW w:w="9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20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16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12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8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4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znaczący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15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9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6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3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mało znaczący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10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8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6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minimalny</w:t>
            </w:r>
          </w:p>
        </w:tc>
        <w:tc>
          <w:tcPr>
            <w:tcW w:w="978" w:type="dxa"/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1659" w:type="dxa"/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1605" w:type="dxa"/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3</w:t>
            </w:r>
          </w:p>
        </w:tc>
        <w:tc>
          <w:tcPr>
            <w:tcW w:w="1777" w:type="dxa"/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</w:t>
            </w:r>
          </w:p>
        </w:tc>
        <w:tc>
          <w:tcPr>
            <w:tcW w:w="1302" w:type="dxa"/>
            <w:shd w:val="clear" w:color="auto" w:fill="0080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</w:t>
            </w:r>
          </w:p>
        </w:tc>
      </w:tr>
    </w:tbl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 xml:space="preserve">W zależności od wartości, jaką przyjmuje dane ryzyko musimy podjąć odpowiednie kroki. 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Należy ustalić konkretne wartości liczbowe determinujące dalsze postępowanie z ryzykiem.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 xml:space="preserve">W miarę upływu czasu, kiedy uda nam się sprowadzić wszystkie ryzyka do poziomu akceptowalnego, warto wprowadzić bardziej restrykcyjne kryteria akceptacji </w:t>
      </w:r>
      <w:proofErr w:type="spellStart"/>
      <w:r w:rsidRPr="00FB54B5">
        <w:rPr>
          <w:rFonts w:ascii="Verdana" w:hAnsi="Verdana"/>
          <w:sz w:val="20"/>
          <w:szCs w:val="20"/>
        </w:rPr>
        <w:t>ryzyk</w:t>
      </w:r>
      <w:proofErr w:type="spellEnd"/>
      <w:r w:rsidRPr="00FB54B5">
        <w:rPr>
          <w:rFonts w:ascii="Verdana" w:hAnsi="Verdana"/>
          <w:sz w:val="20"/>
          <w:szCs w:val="20"/>
        </w:rPr>
        <w:t>.</w:t>
      </w:r>
    </w:p>
    <w:p w:rsidR="003B22BB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Przykładowe wartość i sposoby postępowania zawarte są w poniższej tabeli:</w:t>
      </w:r>
    </w:p>
    <w:p w:rsidR="00FB54B5" w:rsidRPr="00FB54B5" w:rsidRDefault="00FB54B5" w:rsidP="00FB54B5">
      <w:pPr>
        <w:jc w:val="both"/>
        <w:rPr>
          <w:rFonts w:ascii="Verdana" w:hAnsi="Verdana"/>
          <w:sz w:val="20"/>
          <w:szCs w:val="20"/>
        </w:rPr>
      </w:pPr>
    </w:p>
    <w:tbl>
      <w:tblPr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2400"/>
        <w:gridCol w:w="5596"/>
      </w:tblGrid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Wartość: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Rodzaj ryzyka: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Opis i działania: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25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krytyczne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 xml:space="preserve">Konieczna jest natychmiastowa poprawa. Należy rozważyć, czy nie jest konieczne wstrzymanie procesu, którego ryzyko dotyczy 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10-24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nieakceptowane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Należy niezwłocznie podjąć działania mające na celu obniżenie ryzyka.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45639C" w:rsidRDefault="0018649D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5-9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akceptowalne warunkowo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Jeżeli nie</w:t>
            </w:r>
            <w:r w:rsidRPr="0045639C">
              <w:rPr>
                <w:rFonts w:ascii="Verdana" w:hAnsi="Verdana"/>
                <w:color w:val="FF0000"/>
                <w:sz w:val="20"/>
              </w:rPr>
              <w:t xml:space="preserve"> </w:t>
            </w:r>
            <w:r w:rsidRPr="0045639C">
              <w:rPr>
                <w:rFonts w:ascii="Verdana" w:hAnsi="Verdana"/>
                <w:sz w:val="20"/>
              </w:rPr>
              <w:t xml:space="preserve">ma przeciwwskazań ekonomicznych, należy podjąć działania mające na celu zmniejszenie ryzyka. Jeżeli względy ekonomiczne (lub inne) uniemożliwiają zmniejszenie wystąpienia ryzyka, nie ma takiej konieczności. Należy jednak dążyć w dłuższej perspektywie czasu do złagodzenia ryzyka. 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2-4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akceptowalne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Nie ma konieczności podejmowania działań, należy monitorować okresowo ryzyko, alby nie dopuścić do zwiększenia prawdopodobieństwa lub skutków jego wystąpienia.</w:t>
            </w:r>
          </w:p>
        </w:tc>
      </w:tr>
      <w:tr w:rsidR="003B22BB" w:rsidRPr="0045639C" w:rsidTr="00F63EAB">
        <w:tc>
          <w:tcPr>
            <w:tcW w:w="1428" w:type="dxa"/>
            <w:shd w:val="clear" w:color="auto" w:fill="0080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pomijalne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Niema konieczności podejmowania jakichkolwiek działań.</w:t>
            </w:r>
          </w:p>
        </w:tc>
      </w:tr>
    </w:tbl>
    <w:p w:rsidR="003B22BB" w:rsidRDefault="003B22BB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p w:rsidR="00785FB2" w:rsidRPr="00785FB2" w:rsidRDefault="00785FB2" w:rsidP="00785FB2">
      <w:pPr>
        <w:rPr>
          <w:rFonts w:ascii="Verdana" w:hAnsi="Verdana" w:cs="Arial"/>
          <w:b/>
          <w:sz w:val="20"/>
        </w:rPr>
      </w:pPr>
      <w:r>
        <w:rPr>
          <w:rFonts w:ascii="Verdana" w:hAnsi="Verdana" w:cs="Arial"/>
          <w:sz w:val="20"/>
        </w:rPr>
        <w:br w:type="page"/>
      </w:r>
      <w:bookmarkStart w:id="32" w:name="_Toc484157087"/>
      <w:r w:rsidRPr="00785FB2">
        <w:rPr>
          <w:rFonts w:ascii="Verdana" w:hAnsi="Verdana"/>
          <w:b/>
          <w:sz w:val="20"/>
          <w:szCs w:val="20"/>
        </w:rPr>
        <w:lastRenderedPageBreak/>
        <w:t>Karta zmian</w:t>
      </w:r>
      <w:bookmarkEnd w:id="32"/>
      <w:r w:rsidRPr="00785FB2">
        <w:rPr>
          <w:rFonts w:ascii="Verdana" w:hAnsi="Verdana"/>
          <w:b/>
          <w:sz w:val="20"/>
          <w:szCs w:val="20"/>
        </w:rPr>
        <w:t xml:space="preserve"> </w:t>
      </w:r>
    </w:p>
    <w:p w:rsidR="00785FB2" w:rsidRDefault="00785FB2" w:rsidP="00785FB2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785FB2" w:rsidTr="00CA6678">
        <w:trPr>
          <w:trHeight w:val="840"/>
          <w:jc w:val="center"/>
        </w:trPr>
        <w:tc>
          <w:tcPr>
            <w:tcW w:w="530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785FB2" w:rsidRPr="00D37E80" w:rsidRDefault="00785FB2" w:rsidP="00CA6678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785FB2" w:rsidTr="00CA6678">
        <w:trPr>
          <w:trHeight w:val="240"/>
          <w:jc w:val="center"/>
        </w:trPr>
        <w:tc>
          <w:tcPr>
            <w:tcW w:w="5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bookmarkStart w:id="33" w:name="_GoBack"/>
            <w:bookmarkEnd w:id="33"/>
          </w:p>
        </w:tc>
        <w:tc>
          <w:tcPr>
            <w:tcW w:w="18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85FB2" w:rsidTr="00CA6678">
        <w:trPr>
          <w:trHeight w:val="150"/>
          <w:jc w:val="center"/>
        </w:trPr>
        <w:tc>
          <w:tcPr>
            <w:tcW w:w="5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85FB2" w:rsidTr="00CA6678">
        <w:trPr>
          <w:jc w:val="center"/>
        </w:trPr>
        <w:tc>
          <w:tcPr>
            <w:tcW w:w="530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62E2D" w:rsidRPr="00062E2D" w:rsidRDefault="00062E2D" w:rsidP="00062E2D"/>
    <w:p w:rsidR="001C45A5" w:rsidRPr="00062E2D" w:rsidRDefault="001C45A5" w:rsidP="00062E2D">
      <w:pPr>
        <w:tabs>
          <w:tab w:val="left" w:pos="2400"/>
        </w:tabs>
      </w:pPr>
    </w:p>
    <w:sectPr w:rsidR="001C45A5" w:rsidRPr="00062E2D" w:rsidSect="00331979">
      <w:headerReference w:type="default" r:id="rId8"/>
      <w:footerReference w:type="default" r:id="rId9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66" w:rsidRDefault="00E25966" w:rsidP="00864538">
      <w:r>
        <w:separator/>
      </w:r>
    </w:p>
  </w:endnote>
  <w:endnote w:type="continuationSeparator" w:id="0">
    <w:p w:rsidR="00E25966" w:rsidRDefault="00E25966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E213B0" w:rsidRPr="007D6710" w:rsidTr="00E213B0">
      <w:tc>
        <w:tcPr>
          <w:tcW w:w="3227" w:type="dxa"/>
          <w:vAlign w:val="bottom"/>
        </w:tcPr>
        <w:p w:rsidR="00E213B0" w:rsidRPr="00187FE7" w:rsidRDefault="00E213B0" w:rsidP="00F63EA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I</w:t>
          </w:r>
          <w:r w:rsidR="008E5485">
            <w:rPr>
              <w:rFonts w:ascii="Verdana" w:hAnsi="Verdana"/>
              <w:sz w:val="16"/>
              <w:szCs w:val="16"/>
            </w:rPr>
            <w:t>.</w:t>
          </w:r>
          <w:r>
            <w:rPr>
              <w:rFonts w:ascii="Verdana" w:hAnsi="Verdana"/>
              <w:sz w:val="16"/>
              <w:szCs w:val="16"/>
            </w:rPr>
            <w:t>4.2.1</w:t>
          </w:r>
          <w:r w:rsidR="008E5485">
            <w:rPr>
              <w:rFonts w:ascii="Verdana" w:hAnsi="Verdana"/>
              <w:sz w:val="16"/>
              <w:szCs w:val="16"/>
            </w:rPr>
            <w:t>.v.1</w:t>
          </w:r>
        </w:p>
        <w:p w:rsidR="00E213B0" w:rsidRPr="007D6710" w:rsidRDefault="00E213B0" w:rsidP="00F63EA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 w:rsidR="002501E9">
            <w:rPr>
              <w:rFonts w:ascii="Verdana" w:hAnsi="Verdana"/>
              <w:sz w:val="16"/>
              <w:szCs w:val="16"/>
            </w:rPr>
            <w:t>01.02.2018</w:t>
          </w:r>
        </w:p>
      </w:tc>
      <w:tc>
        <w:tcPr>
          <w:tcW w:w="3402" w:type="dxa"/>
          <w:vAlign w:val="bottom"/>
        </w:tcPr>
        <w:p w:rsidR="00E213B0" w:rsidRPr="007D6710" w:rsidRDefault="00E213B0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E213B0" w:rsidRPr="007D6710" w:rsidRDefault="00E213B0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0079F26C" wp14:editId="6155C66A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213B0" w:rsidRPr="007D6710" w:rsidRDefault="00E213B0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E213B0" w:rsidRPr="007D6710" w:rsidRDefault="00E213B0" w:rsidP="00F63EA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8E424A">
            <w:rPr>
              <w:rFonts w:ascii="Verdana" w:hAnsi="Verdana"/>
              <w:noProof/>
              <w:sz w:val="16"/>
              <w:szCs w:val="16"/>
            </w:rPr>
            <w:t>5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8E424A">
            <w:rPr>
              <w:rFonts w:ascii="Verdana" w:hAnsi="Verdana"/>
              <w:noProof/>
              <w:sz w:val="16"/>
              <w:szCs w:val="16"/>
            </w:rPr>
            <w:t>5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864538" w:rsidRDefault="00864538">
    <w:pPr>
      <w:pStyle w:val="Stopka"/>
    </w:pPr>
  </w:p>
  <w:p w:rsidR="00864538" w:rsidRDefault="00864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66" w:rsidRDefault="00E25966" w:rsidP="00864538">
      <w:r>
        <w:separator/>
      </w:r>
    </w:p>
  </w:footnote>
  <w:footnote w:type="continuationSeparator" w:id="0">
    <w:p w:rsidR="00E25966" w:rsidRDefault="00E25966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Nagwek"/>
    </w:pPr>
  </w:p>
  <w:p w:rsidR="00864538" w:rsidRPr="00864538" w:rsidRDefault="00E213B0" w:rsidP="00785FB2">
    <w:pPr>
      <w:pStyle w:val="Nagwek"/>
      <w:tabs>
        <w:tab w:val="clear" w:pos="9072"/>
        <w:tab w:val="right" w:pos="9356"/>
      </w:tabs>
      <w:rPr>
        <w:sz w:val="16"/>
        <w:szCs w:val="16"/>
      </w:rPr>
    </w:pPr>
    <w:r>
      <w:rPr>
        <w:rFonts w:ascii="Verdana" w:hAnsi="Verdana"/>
        <w:b/>
        <w:noProof/>
      </w:rPr>
      <w:drawing>
        <wp:inline distT="0" distB="0" distL="0" distR="0" wp14:anchorId="0375F011" wp14:editId="5E876B61">
          <wp:extent cx="943610" cy="336550"/>
          <wp:effectExtent l="0" t="0" r="8890" b="6350"/>
          <wp:docPr id="1" name="Obraz 1" descr="C:\Users\maryn\OneDrive\Dokumenty\PROJEKTY\w trakcie\ETISOFT\logo_etisof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yn\OneDrive\Dokumenty\PROJEKTY\w trakcie\ETISOFT\logo_etisof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5F55">
      <w:rPr>
        <w:rFonts w:ascii="Verdana" w:hAnsi="Verdana"/>
        <w:b/>
      </w:rPr>
      <w:t xml:space="preserve">            </w:t>
    </w:r>
    <w:r w:rsidR="00785FB2">
      <w:rPr>
        <w:rFonts w:ascii="Verdana" w:hAnsi="Verdana"/>
        <w:b/>
      </w:rPr>
      <w:t xml:space="preserve">   </w:t>
    </w:r>
    <w:r w:rsidR="00F010B2">
      <w:rPr>
        <w:rFonts w:ascii="Verdana" w:hAnsi="Verdana"/>
        <w:b/>
      </w:rPr>
      <w:t xml:space="preserve">          </w:t>
    </w:r>
    <w:r w:rsidR="00185F55">
      <w:rPr>
        <w:rFonts w:ascii="Verdana" w:hAnsi="Verdana"/>
        <w:b/>
      </w:rPr>
      <w:fldChar w:fldCharType="begin"/>
    </w:r>
    <w:r w:rsidR="00185F55">
      <w:rPr>
        <w:rFonts w:ascii="Verdana" w:hAnsi="Verdana"/>
        <w:b/>
      </w:rPr>
      <w:instrText xml:space="preserve"> FILENAME  \* Caps  \* MERGEFORMAT </w:instrText>
    </w:r>
    <w:r w:rsidR="00185F55">
      <w:rPr>
        <w:rFonts w:ascii="Verdana" w:hAnsi="Verdana"/>
        <w:b/>
      </w:rPr>
      <w:fldChar w:fldCharType="separate"/>
    </w:r>
    <w:r w:rsidR="008E424A">
      <w:rPr>
        <w:rFonts w:ascii="Verdana" w:hAnsi="Verdana"/>
        <w:b/>
        <w:noProof/>
      </w:rPr>
      <w:t>I.4.2.1 Metodyka Szacowania Ryzyka.Docx</w:t>
    </w:r>
    <w:r w:rsidR="00185F55">
      <w:rPr>
        <w:rFonts w:ascii="Verdana" w:hAnsi="Verdana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11EFE"/>
    <w:multiLevelType w:val="multilevel"/>
    <w:tmpl w:val="02C498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9F2571C"/>
    <w:multiLevelType w:val="multilevel"/>
    <w:tmpl w:val="25EE7F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04F074C"/>
    <w:multiLevelType w:val="multilevel"/>
    <w:tmpl w:val="47C60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35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46E1A8D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3DAC40EF"/>
    <w:multiLevelType w:val="hybridMultilevel"/>
    <w:tmpl w:val="C3342D2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5C6902E0"/>
    <w:multiLevelType w:val="multilevel"/>
    <w:tmpl w:val="CD20E5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7795F24"/>
    <w:multiLevelType w:val="multilevel"/>
    <w:tmpl w:val="D7406292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767DF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3"/>
    <w:lvlOverride w:ilvl="0">
      <w:startOverride w:val="3"/>
    </w:lvlOverride>
    <w:lvlOverride w:ilvl="1">
      <w:startOverride w:val="1"/>
    </w:lvlOverride>
  </w:num>
  <w:num w:numId="11">
    <w:abstractNumId w:val="3"/>
    <w:lvlOverride w:ilvl="0">
      <w:startOverride w:val="3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62E2D"/>
    <w:rsid w:val="000660C1"/>
    <w:rsid w:val="00085CDA"/>
    <w:rsid w:val="00094D5C"/>
    <w:rsid w:val="000A041B"/>
    <w:rsid w:val="000A353D"/>
    <w:rsid w:val="000E1674"/>
    <w:rsid w:val="00185F55"/>
    <w:rsid w:val="0018649D"/>
    <w:rsid w:val="001A18FB"/>
    <w:rsid w:val="001C45A5"/>
    <w:rsid w:val="001D5863"/>
    <w:rsid w:val="001E4C87"/>
    <w:rsid w:val="001F4B6E"/>
    <w:rsid w:val="00202959"/>
    <w:rsid w:val="00203B31"/>
    <w:rsid w:val="002111C9"/>
    <w:rsid w:val="00216C5B"/>
    <w:rsid w:val="002501E9"/>
    <w:rsid w:val="0025784A"/>
    <w:rsid w:val="002B0915"/>
    <w:rsid w:val="002C5AB1"/>
    <w:rsid w:val="002F3AC6"/>
    <w:rsid w:val="00331979"/>
    <w:rsid w:val="003607A1"/>
    <w:rsid w:val="00394A7E"/>
    <w:rsid w:val="0039759A"/>
    <w:rsid w:val="0039796A"/>
    <w:rsid w:val="003B22BB"/>
    <w:rsid w:val="003C68EA"/>
    <w:rsid w:val="003F3E32"/>
    <w:rsid w:val="004142BB"/>
    <w:rsid w:val="00434D98"/>
    <w:rsid w:val="0046042B"/>
    <w:rsid w:val="0046605B"/>
    <w:rsid w:val="00471B2F"/>
    <w:rsid w:val="004C0C38"/>
    <w:rsid w:val="004D7899"/>
    <w:rsid w:val="005251CC"/>
    <w:rsid w:val="0059274A"/>
    <w:rsid w:val="005C3D7B"/>
    <w:rsid w:val="00634EB3"/>
    <w:rsid w:val="006A6AE7"/>
    <w:rsid w:val="006C74D0"/>
    <w:rsid w:val="006D4DDC"/>
    <w:rsid w:val="006D7D55"/>
    <w:rsid w:val="006F4077"/>
    <w:rsid w:val="00702D51"/>
    <w:rsid w:val="00721A64"/>
    <w:rsid w:val="00735A32"/>
    <w:rsid w:val="0074616C"/>
    <w:rsid w:val="007520C2"/>
    <w:rsid w:val="00785FB2"/>
    <w:rsid w:val="007B3429"/>
    <w:rsid w:val="00801AE2"/>
    <w:rsid w:val="008446D6"/>
    <w:rsid w:val="00855450"/>
    <w:rsid w:val="00864538"/>
    <w:rsid w:val="008C663B"/>
    <w:rsid w:val="008D29D0"/>
    <w:rsid w:val="008D3E2D"/>
    <w:rsid w:val="008E424A"/>
    <w:rsid w:val="008E5485"/>
    <w:rsid w:val="008E6A89"/>
    <w:rsid w:val="00941859"/>
    <w:rsid w:val="0096311D"/>
    <w:rsid w:val="009A339C"/>
    <w:rsid w:val="009A50F9"/>
    <w:rsid w:val="00A03A49"/>
    <w:rsid w:val="00A070D2"/>
    <w:rsid w:val="00A22987"/>
    <w:rsid w:val="00B059B6"/>
    <w:rsid w:val="00BB7B7A"/>
    <w:rsid w:val="00BC5DF2"/>
    <w:rsid w:val="00BC7E74"/>
    <w:rsid w:val="00BF0314"/>
    <w:rsid w:val="00C05A91"/>
    <w:rsid w:val="00C06BFA"/>
    <w:rsid w:val="00C124B4"/>
    <w:rsid w:val="00C34DF4"/>
    <w:rsid w:val="00C90B93"/>
    <w:rsid w:val="00CB612C"/>
    <w:rsid w:val="00CE43EC"/>
    <w:rsid w:val="00CF51B4"/>
    <w:rsid w:val="00D40BBE"/>
    <w:rsid w:val="00D42F1C"/>
    <w:rsid w:val="00DE5E11"/>
    <w:rsid w:val="00E213B0"/>
    <w:rsid w:val="00E25966"/>
    <w:rsid w:val="00EA7DD6"/>
    <w:rsid w:val="00EA7F46"/>
    <w:rsid w:val="00EB5C3F"/>
    <w:rsid w:val="00ED3DFD"/>
    <w:rsid w:val="00EE5F29"/>
    <w:rsid w:val="00F010B2"/>
    <w:rsid w:val="00F03AB5"/>
    <w:rsid w:val="00F37F5C"/>
    <w:rsid w:val="00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22BB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22BB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B5C3F"/>
    <w:pPr>
      <w:ind w:firstLine="567"/>
      <w:jc w:val="both"/>
    </w:pPr>
    <w:rPr>
      <w:rFonts w:eastAsia="Times New Roman"/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B5C3F"/>
    <w:rPr>
      <w:rFonts w:ascii="Times New Roman" w:eastAsia="Times New Roman" w:hAnsi="Times New Roman"/>
      <w:color w:val="000000"/>
      <w:sz w:val="24"/>
      <w:szCs w:val="24"/>
      <w:lang w:val="cs-CZ"/>
    </w:rPr>
  </w:style>
  <w:style w:type="character" w:styleId="Numerstrony">
    <w:name w:val="page number"/>
    <w:basedOn w:val="Domylnaczcionkaakapitu"/>
    <w:rsid w:val="00EB5C3F"/>
  </w:style>
  <w:style w:type="paragraph" w:styleId="NormalnyWeb">
    <w:name w:val="Normal (Web)"/>
    <w:basedOn w:val="Normalny"/>
    <w:unhideWhenUsed/>
    <w:rsid w:val="00785FB2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85FB2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785FB2"/>
    <w:pPr>
      <w:keepLines/>
      <w:numPr>
        <w:ilvl w:val="1"/>
        <w:numId w:val="4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22B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22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yl2">
    <w:name w:val="Styl2"/>
    <w:basedOn w:val="Normalny"/>
    <w:link w:val="Styl2Znak"/>
    <w:qFormat/>
    <w:rsid w:val="003B22BB"/>
    <w:pPr>
      <w:ind w:left="360" w:hanging="360"/>
    </w:pPr>
    <w:rPr>
      <w:rFonts w:eastAsia="Times New Roman"/>
      <w:b/>
      <w:sz w:val="28"/>
      <w:szCs w:val="28"/>
    </w:rPr>
  </w:style>
  <w:style w:type="character" w:customStyle="1" w:styleId="Styl2Znak">
    <w:name w:val="Styl2 Znak"/>
    <w:basedOn w:val="Domylnaczcionkaakapitu"/>
    <w:link w:val="Styl2"/>
    <w:rsid w:val="003B22BB"/>
    <w:rPr>
      <w:rFonts w:ascii="Times New Roman" w:eastAsia="Times New Roman" w:hAnsi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22BB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22BB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B5C3F"/>
    <w:pPr>
      <w:ind w:firstLine="567"/>
      <w:jc w:val="both"/>
    </w:pPr>
    <w:rPr>
      <w:rFonts w:eastAsia="Times New Roman"/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B5C3F"/>
    <w:rPr>
      <w:rFonts w:ascii="Times New Roman" w:eastAsia="Times New Roman" w:hAnsi="Times New Roman"/>
      <w:color w:val="000000"/>
      <w:sz w:val="24"/>
      <w:szCs w:val="24"/>
      <w:lang w:val="cs-CZ"/>
    </w:rPr>
  </w:style>
  <w:style w:type="character" w:styleId="Numerstrony">
    <w:name w:val="page number"/>
    <w:basedOn w:val="Domylnaczcionkaakapitu"/>
    <w:rsid w:val="00EB5C3F"/>
  </w:style>
  <w:style w:type="paragraph" w:styleId="NormalnyWeb">
    <w:name w:val="Normal (Web)"/>
    <w:basedOn w:val="Normalny"/>
    <w:unhideWhenUsed/>
    <w:rsid w:val="00785FB2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85FB2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785FB2"/>
    <w:pPr>
      <w:keepLines/>
      <w:numPr>
        <w:ilvl w:val="1"/>
        <w:numId w:val="4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22B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22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yl2">
    <w:name w:val="Styl2"/>
    <w:basedOn w:val="Normalny"/>
    <w:link w:val="Styl2Znak"/>
    <w:qFormat/>
    <w:rsid w:val="003B22BB"/>
    <w:pPr>
      <w:ind w:left="360" w:hanging="360"/>
    </w:pPr>
    <w:rPr>
      <w:rFonts w:eastAsia="Times New Roman"/>
      <w:b/>
      <w:sz w:val="28"/>
      <w:szCs w:val="28"/>
    </w:rPr>
  </w:style>
  <w:style w:type="character" w:customStyle="1" w:styleId="Styl2Znak">
    <w:name w:val="Styl2 Znak"/>
    <w:basedOn w:val="Domylnaczcionkaakapitu"/>
    <w:link w:val="Styl2"/>
    <w:rsid w:val="003B22BB"/>
    <w:rPr>
      <w:rFonts w:ascii="Times New Roman" w:eastAsia="Times New Roman" w:hAnsi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934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10</cp:revision>
  <cp:lastPrinted>2017-12-18T11:33:00Z</cp:lastPrinted>
  <dcterms:created xsi:type="dcterms:W3CDTF">2017-10-31T10:39:00Z</dcterms:created>
  <dcterms:modified xsi:type="dcterms:W3CDTF">2017-12-18T11:33:00Z</dcterms:modified>
</cp:coreProperties>
</file>