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3DA" w:rsidRPr="00C76770" w:rsidRDefault="009C43DA" w:rsidP="009C43DA">
      <w:pPr>
        <w:rPr>
          <w:rStyle w:val="normaltextrun"/>
          <w:rFonts w:ascii="Titillium Web" w:hAnsi="Titillium Web" w:cs="Arial"/>
        </w:rPr>
      </w:pPr>
    </w:p>
    <w:p w:rsidR="00102AA4" w:rsidRPr="00C76770" w:rsidRDefault="00102AA4" w:rsidP="00102AA4">
      <w:pPr>
        <w:pStyle w:val="Nagwek1"/>
        <w:rPr>
          <w:rStyle w:val="Pogrubienie"/>
          <w:rFonts w:ascii="Titillium Web" w:hAnsi="Titillium Web"/>
          <w:color w:val="auto"/>
        </w:rPr>
      </w:pPr>
    </w:p>
    <w:p w:rsidR="00C76770" w:rsidRPr="00C76770" w:rsidRDefault="00C76770" w:rsidP="00C76770">
      <w:pPr>
        <w:pStyle w:val="Nagwek1"/>
        <w:jc w:val="center"/>
        <w:rPr>
          <w:rFonts w:ascii="Titillium Web" w:hAnsi="Titillium Web" w:cstheme="minorHAnsi"/>
          <w:b/>
        </w:rPr>
      </w:pPr>
      <w:r w:rsidRPr="00C76770">
        <w:rPr>
          <w:rFonts w:ascii="Titillium Web" w:hAnsi="Titillium Web" w:cstheme="minorHAnsi"/>
          <w:b/>
        </w:rPr>
        <w:t>OGÓLNE WARUNKI SPRZEDAŻY</w:t>
      </w:r>
    </w:p>
    <w:p w:rsidR="00C76770" w:rsidRPr="00C76770" w:rsidRDefault="00C76770" w:rsidP="00C76770">
      <w:pPr>
        <w:pStyle w:val="Default"/>
        <w:jc w:val="both"/>
        <w:rPr>
          <w:rFonts w:ascii="Titillium Web" w:hAnsi="Titillium Web"/>
          <w:b/>
          <w:bCs/>
          <w:sz w:val="20"/>
          <w:szCs w:val="20"/>
        </w:rPr>
      </w:pPr>
    </w:p>
    <w:p w:rsidR="00C76770" w:rsidRPr="00C76770" w:rsidRDefault="00C76770" w:rsidP="00C76770">
      <w:pPr>
        <w:pStyle w:val="Default"/>
        <w:jc w:val="center"/>
        <w:rPr>
          <w:rFonts w:ascii="Titillium Web" w:hAnsi="Titillium Web" w:cstheme="minorHAnsi"/>
          <w:color w:val="auto"/>
        </w:rPr>
      </w:pPr>
    </w:p>
    <w:p w:rsidR="00C76770" w:rsidRPr="00CB3B08" w:rsidRDefault="00C76770" w:rsidP="00C76770">
      <w:pPr>
        <w:ind w:firstLine="708"/>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Niniejsze Ogólne Warunki Sprzedaży </w:t>
      </w:r>
      <w:r w:rsidR="00AC5F03" w:rsidRPr="00CB3B08">
        <w:rPr>
          <w:rFonts w:ascii="Titillium Web" w:hAnsi="Titillium Web" w:cstheme="minorHAnsi"/>
          <w:b/>
          <w:color w:val="0D0D0D" w:themeColor="text1" w:themeTint="F2"/>
        </w:rPr>
        <w:t>ETISOFT KRAKÓW</w:t>
      </w:r>
      <w:r w:rsidRPr="00CB3B08">
        <w:rPr>
          <w:rFonts w:ascii="Titillium Web" w:hAnsi="Titillium Web" w:cstheme="minorHAnsi"/>
          <w:b/>
          <w:color w:val="0D0D0D" w:themeColor="text1" w:themeTint="F2"/>
        </w:rPr>
        <w:t xml:space="preserve"> Marek Obłaza spółka komandytowa,</w:t>
      </w:r>
      <w:r w:rsidR="004F38CC" w:rsidRPr="00CB3B08">
        <w:rPr>
          <w:rFonts w:ascii="Titillium Web" w:hAnsi="Titillium Web" w:cstheme="minorHAnsi"/>
          <w:b/>
          <w:color w:val="0D0D0D" w:themeColor="text1" w:themeTint="F2"/>
        </w:rPr>
        <w:t xml:space="preserve"> </w:t>
      </w:r>
      <w:r w:rsidRPr="00CB3B08">
        <w:rPr>
          <w:rFonts w:ascii="Titillium Web" w:hAnsi="Titillium Web" w:cstheme="minorHAnsi"/>
          <w:b/>
          <w:color w:val="0D0D0D" w:themeColor="text1" w:themeTint="F2"/>
        </w:rPr>
        <w:t xml:space="preserve">z siedzibą w Krakowie przy ul. </w:t>
      </w:r>
      <w:proofErr w:type="spellStart"/>
      <w:r w:rsidRPr="00CB3B08">
        <w:rPr>
          <w:rFonts w:ascii="Titillium Web" w:hAnsi="Titillium Web" w:cstheme="minorHAnsi"/>
          <w:b/>
          <w:color w:val="0D0D0D" w:themeColor="text1" w:themeTint="F2"/>
        </w:rPr>
        <w:t>Rydlówka</w:t>
      </w:r>
      <w:proofErr w:type="spellEnd"/>
      <w:r w:rsidRPr="00CB3B08">
        <w:rPr>
          <w:rFonts w:ascii="Titillium Web" w:hAnsi="Titillium Web" w:cstheme="minorHAnsi"/>
          <w:b/>
          <w:color w:val="0D0D0D" w:themeColor="text1" w:themeTint="F2"/>
        </w:rPr>
        <w:t xml:space="preserve"> 20, NIP: 679-282-86-91, KRS</w:t>
      </w:r>
      <w:r w:rsidR="004F38CC" w:rsidRPr="00CB3B08">
        <w:rPr>
          <w:rFonts w:ascii="Titillium Web" w:hAnsi="Titillium Web" w:cstheme="minorHAnsi"/>
          <w:b/>
          <w:color w:val="0D0D0D" w:themeColor="text1" w:themeTint="F2"/>
        </w:rPr>
        <w:t>: </w:t>
      </w:r>
      <w:r w:rsidR="00F85837" w:rsidRPr="00CB3B08">
        <w:rPr>
          <w:rFonts w:ascii="Titillium Web" w:hAnsi="Titillium Web" w:cstheme="minorHAnsi"/>
          <w:b/>
          <w:color w:val="0D0D0D" w:themeColor="text1" w:themeTint="F2"/>
        </w:rPr>
        <w:t>0000956756,</w:t>
      </w:r>
      <w:r w:rsidRPr="00CB3B08">
        <w:rPr>
          <w:rFonts w:ascii="Titillium Web" w:hAnsi="Titillium Web" w:cstheme="minorHAnsi"/>
          <w:color w:val="0D0D0D" w:themeColor="text1" w:themeTint="F2"/>
        </w:rPr>
        <w:t xml:space="preserve"> zwane dalej </w:t>
      </w:r>
      <w:r w:rsidRPr="00CB3B08">
        <w:rPr>
          <w:rFonts w:ascii="Titillium Web" w:hAnsi="Titillium Web" w:cstheme="minorHAnsi"/>
          <w:b/>
          <w:color w:val="0D0D0D" w:themeColor="text1" w:themeTint="F2"/>
        </w:rPr>
        <w:t>OWS</w:t>
      </w:r>
      <w:r w:rsidRPr="00CB3B08">
        <w:rPr>
          <w:rFonts w:ascii="Titillium Web" w:hAnsi="Titillium Web" w:cstheme="minorHAnsi"/>
          <w:color w:val="0D0D0D" w:themeColor="text1" w:themeTint="F2"/>
        </w:rPr>
        <w:t xml:space="preserve"> stanowią ogólne warunki umów w rozumieniu przepisu art. 384 Kodeksu Cywilnego i mają zastosowanie do wszelkich relacji handlowych nawiązanych pomiędzy spółką Etisoft Kraków, zwaną w dalszej treści </w:t>
      </w:r>
      <w:r w:rsidRPr="00CB3B08">
        <w:rPr>
          <w:rFonts w:ascii="Titillium Web" w:hAnsi="Titillium Web" w:cstheme="minorHAnsi"/>
          <w:b/>
          <w:color w:val="0D0D0D" w:themeColor="text1" w:themeTint="F2"/>
        </w:rPr>
        <w:t>Sprzedającym</w:t>
      </w:r>
      <w:r w:rsidRPr="00CB3B08">
        <w:rPr>
          <w:rFonts w:ascii="Titillium Web" w:hAnsi="Titillium Web" w:cstheme="minorHAnsi"/>
          <w:color w:val="0D0D0D" w:themeColor="text1" w:themeTint="F2"/>
        </w:rPr>
        <w:t xml:space="preserve">, a kontrahentami, zwanymi dalej </w:t>
      </w:r>
      <w:r w:rsidRPr="00CB3B08">
        <w:rPr>
          <w:rFonts w:ascii="Titillium Web" w:hAnsi="Titillium Web" w:cstheme="minorHAnsi"/>
          <w:b/>
          <w:color w:val="0D0D0D" w:themeColor="text1" w:themeTint="F2"/>
        </w:rPr>
        <w:t>Nabywcami</w:t>
      </w:r>
      <w:r w:rsidRPr="00CB3B08">
        <w:rPr>
          <w:rFonts w:ascii="Titillium Web" w:hAnsi="Titillium Web" w:cstheme="minorHAnsi"/>
          <w:color w:val="0D0D0D" w:themeColor="text1" w:themeTint="F2"/>
        </w:rPr>
        <w:t>.</w:t>
      </w:r>
    </w:p>
    <w:p w:rsidR="00C76770" w:rsidRPr="00CB3B08" w:rsidRDefault="00C76770" w:rsidP="00C76770">
      <w:pPr>
        <w:ind w:firstLine="708"/>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Ogólne Warunki Sprzedaży są integralną częścią wszelkich umów handlowych zawieranych pomiędzy Sprzedającym, a podmiotami trzecimi oraz odnoszą się do wszelkich zamówień składanych </w:t>
      </w:r>
      <w:r w:rsidR="00B80567" w:rsidRPr="00CB3B08">
        <w:rPr>
          <w:rFonts w:ascii="Titillium Web" w:hAnsi="Titillium Web" w:cstheme="minorHAnsi"/>
          <w:color w:val="0D0D0D" w:themeColor="text1" w:themeTint="F2"/>
        </w:rPr>
        <w:t>Sprzedającemu</w:t>
      </w:r>
      <w:r w:rsidRPr="00CB3B08">
        <w:rPr>
          <w:rFonts w:ascii="Titillium Web" w:hAnsi="Titillium Web" w:cstheme="minorHAnsi"/>
          <w:color w:val="0D0D0D" w:themeColor="text1" w:themeTint="F2"/>
        </w:rPr>
        <w:t xml:space="preserve"> i są wiążące dla obu stron każdej transakcji handlowej, z wyłączeniem możliwości stosowania jakichkolwiek ogólnych warunków umów Nabywcy, chyba że strony danej transakcji pisemnie uzgodnią odmienne warunki jej zawarcia i realizacji.</w:t>
      </w:r>
    </w:p>
    <w:p w:rsidR="00C76770" w:rsidRPr="00CB3B08" w:rsidRDefault="00C76770" w:rsidP="00C76770">
      <w:pPr>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Uznaje się, że niniejsze Ogólne Warunki Sprzedaży zostały zaakceptowane bez zastrzeżeń przez Nabywcę, jeżeli przyjął on indywidualnie do niego skierowaną ofertę handlową Etisoft Kraków i na jej podstawie złożył zamówienie, bądź jeżeli złożył zamówienie na podstawie obowiązując</w:t>
      </w:r>
      <w:r w:rsidR="00ED2473" w:rsidRPr="00CB3B08">
        <w:rPr>
          <w:rFonts w:ascii="Titillium Web" w:hAnsi="Titillium Web" w:cstheme="minorHAnsi"/>
          <w:color w:val="0D0D0D" w:themeColor="text1" w:themeTint="F2"/>
        </w:rPr>
        <w:t>ych</w:t>
      </w:r>
      <w:r w:rsidRPr="00CB3B08">
        <w:rPr>
          <w:rFonts w:ascii="Titillium Web" w:hAnsi="Titillium Web" w:cstheme="minorHAnsi"/>
          <w:color w:val="0D0D0D" w:themeColor="text1" w:themeTint="F2"/>
        </w:rPr>
        <w:t xml:space="preserve"> cennik</w:t>
      </w:r>
      <w:r w:rsidR="00ED2473" w:rsidRPr="00CB3B08">
        <w:rPr>
          <w:rFonts w:ascii="Titillium Web" w:hAnsi="Titillium Web" w:cstheme="minorHAnsi"/>
          <w:color w:val="0D0D0D" w:themeColor="text1" w:themeTint="F2"/>
        </w:rPr>
        <w:t>ów</w:t>
      </w:r>
      <w:r w:rsidRPr="00CB3B08">
        <w:rPr>
          <w:rFonts w:ascii="Titillium Web" w:hAnsi="Titillium Web" w:cstheme="minorHAnsi"/>
          <w:color w:val="0D0D0D" w:themeColor="text1" w:themeTint="F2"/>
        </w:rPr>
        <w:t xml:space="preserve"> lub jeżeli zawarł z Etisoft Kraków określoną umowę handlową. </w:t>
      </w:r>
    </w:p>
    <w:p w:rsidR="00C76770" w:rsidRPr="00CB3B08" w:rsidRDefault="00C76770" w:rsidP="00C76770">
      <w:pPr>
        <w:pStyle w:val="Default"/>
        <w:jc w:val="both"/>
        <w:rPr>
          <w:rFonts w:ascii="Titillium Web" w:hAnsi="Titillium Web" w:cstheme="minorHAnsi"/>
          <w:color w:val="0D0D0D" w:themeColor="text1" w:themeTint="F2"/>
        </w:rPr>
      </w:pPr>
    </w:p>
    <w:p w:rsidR="00C76770" w:rsidRPr="00CB3B08" w:rsidRDefault="00C76770" w:rsidP="00C76770">
      <w:pPr>
        <w:jc w:val="both"/>
        <w:rPr>
          <w:rFonts w:ascii="Titillium Web" w:hAnsi="Titillium Web" w:cstheme="minorHAnsi"/>
          <w:color w:val="0D0D0D" w:themeColor="text1" w:themeTint="F2"/>
        </w:rPr>
      </w:pPr>
      <w:r w:rsidRPr="00CB3B08">
        <w:rPr>
          <w:rFonts w:ascii="Titillium Web" w:hAnsi="Titillium Web" w:cstheme="minorHAnsi"/>
          <w:b/>
          <w:bCs/>
          <w:color w:val="0D0D0D" w:themeColor="text1" w:themeTint="F2"/>
          <w:u w:val="single"/>
        </w:rPr>
        <w:t>WARUNKI SPRZEDAŻY</w:t>
      </w:r>
    </w:p>
    <w:p w:rsidR="00C76770" w:rsidRPr="00CB3B08" w:rsidRDefault="00C76770" w:rsidP="00C76770">
      <w:pPr>
        <w:pStyle w:val="NormalnyWeb"/>
        <w:spacing w:before="0" w:beforeAutospacing="0" w:after="0" w:afterAutospacing="0"/>
        <w:rPr>
          <w:rFonts w:ascii="Titillium Web" w:hAnsi="Titillium Web" w:cstheme="minorHAnsi"/>
          <w:color w:val="0D0D0D" w:themeColor="text1" w:themeTint="F2"/>
        </w:rPr>
      </w:pPr>
      <w:r w:rsidRPr="00CB3B08">
        <w:rPr>
          <w:rFonts w:ascii="Titillium Web" w:hAnsi="Titillium Web" w:cstheme="minorHAnsi"/>
          <w:color w:val="0D0D0D" w:themeColor="text1" w:themeTint="F2"/>
        </w:rPr>
        <w:t> </w:t>
      </w:r>
    </w:p>
    <w:p w:rsidR="00C76770" w:rsidRPr="00CB3B08" w:rsidRDefault="00C76770" w:rsidP="00C76770">
      <w:pPr>
        <w:rPr>
          <w:rFonts w:ascii="Titillium Web" w:hAnsi="Titillium Web" w:cstheme="minorHAnsi"/>
          <w:color w:val="0D0D0D" w:themeColor="text1" w:themeTint="F2"/>
        </w:rPr>
      </w:pPr>
      <w:r w:rsidRPr="00CB3B08">
        <w:rPr>
          <w:rFonts w:ascii="Titillium Web" w:hAnsi="Titillium Web" w:cstheme="minorHAnsi"/>
          <w:b/>
          <w:bCs/>
          <w:color w:val="0D0D0D" w:themeColor="text1" w:themeTint="F2"/>
        </w:rPr>
        <w:t>I. ZAWARCIE UMOWY HANDLOWEJ I ODPOWIEDZIALNOŚĆ SPRZEDAJĄCEGO.</w:t>
      </w:r>
    </w:p>
    <w:p w:rsidR="00C76770" w:rsidRPr="00CB3B08" w:rsidRDefault="00C76770" w:rsidP="00C76770">
      <w:pPr>
        <w:pStyle w:val="NormalnyWeb"/>
        <w:spacing w:before="0" w:beforeAutospacing="0" w:after="0" w:afterAutospacing="0"/>
        <w:rPr>
          <w:rFonts w:ascii="Titillium Web" w:hAnsi="Titillium Web" w:cstheme="minorHAnsi"/>
          <w:color w:val="0D0D0D" w:themeColor="text1" w:themeTint="F2"/>
        </w:rPr>
      </w:pPr>
      <w:r w:rsidRPr="00CB3B08">
        <w:rPr>
          <w:rFonts w:ascii="Titillium Web" w:hAnsi="Titillium Web" w:cstheme="minorHAnsi"/>
          <w:color w:val="0D0D0D" w:themeColor="text1" w:themeTint="F2"/>
        </w:rPr>
        <w:t> </w:t>
      </w:r>
    </w:p>
    <w:p w:rsidR="00C76770" w:rsidRPr="00CB3B08" w:rsidRDefault="00C76770" w:rsidP="00C76770">
      <w:pPr>
        <w:numPr>
          <w:ilvl w:val="0"/>
          <w:numId w:val="8"/>
        </w:numPr>
        <w:spacing w:before="150" w:after="150"/>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Zawarcie umowy handlowej pomiędzy Sprzedającym, a Nabywcą następuje z chwilą podpisania treści stosownej, odrębnej umowy przez ostatnią ze stron, a jeżeli do zawarcia umowy dochodzi wskutek złożenia określonego zamówienia przez Nabywcę z chwilą </w:t>
      </w:r>
      <w:r w:rsidR="004F38CC" w:rsidRPr="00CB3B08">
        <w:rPr>
          <w:rFonts w:ascii="Titillium Web" w:hAnsi="Titillium Web" w:cstheme="minorHAnsi"/>
          <w:color w:val="0D0D0D" w:themeColor="text1" w:themeTint="F2"/>
        </w:rPr>
        <w:t>otrzymania przez Nabywcę</w:t>
      </w:r>
      <w:r w:rsidRPr="00CB3B08">
        <w:rPr>
          <w:rFonts w:ascii="Titillium Web" w:hAnsi="Titillium Web" w:cstheme="minorHAnsi"/>
          <w:color w:val="0D0D0D" w:themeColor="text1" w:themeTint="F2"/>
        </w:rPr>
        <w:t xml:space="preserve"> potwierdzenia zamówienia Sprzedającego o przyjęciu tego zamówienia do realizacji.</w:t>
      </w:r>
    </w:p>
    <w:p w:rsidR="00C76770" w:rsidRPr="00CB3B08" w:rsidRDefault="00C76770" w:rsidP="00C76770">
      <w:pPr>
        <w:numPr>
          <w:ilvl w:val="0"/>
          <w:numId w:val="9"/>
        </w:numPr>
        <w:spacing w:before="150" w:after="150"/>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Zamówienia mogą być składane przez Nabywcę na podstawie zaakceptowanej i przyjętej przez niego indywidualnej oferty handlowej bądź na podstawie obowiązujących cenników Sprzedającego, z zastrzeżeniem, że cenniki takie nie stanowią oferty, a wyłącznie informację skierowaną do nieokreślonego kręgu adresatów o oferowanych przez Sprzedającego towarach lub usługach i ich cenach.</w:t>
      </w:r>
    </w:p>
    <w:p w:rsidR="004F466C" w:rsidRPr="00CB3B08" w:rsidRDefault="004F466C" w:rsidP="004F466C">
      <w:pPr>
        <w:spacing w:before="150" w:after="150"/>
        <w:ind w:left="300"/>
        <w:jc w:val="both"/>
        <w:rPr>
          <w:rFonts w:ascii="Titillium Web" w:hAnsi="Titillium Web" w:cstheme="minorHAnsi"/>
          <w:color w:val="0D0D0D" w:themeColor="text1" w:themeTint="F2"/>
        </w:rPr>
      </w:pPr>
    </w:p>
    <w:p w:rsidR="00C76770" w:rsidRPr="00CB3B08" w:rsidRDefault="00C76770" w:rsidP="00C76770">
      <w:pPr>
        <w:numPr>
          <w:ilvl w:val="0"/>
          <w:numId w:val="10"/>
        </w:numPr>
        <w:spacing w:before="150" w:after="150"/>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lastRenderedPageBreak/>
        <w:t xml:space="preserve">Każde zamówienie dla swej ważności (także w przypadku gdy ma być realizowane w ramach zawartej odrębnej umowy handlowej) musi być złożone w formie pisemnej przez osobę umocowaną w tym zakresie po stronie Nabywcy i przesłane Sprzedającemu </w:t>
      </w:r>
      <w:r w:rsidR="003729B1" w:rsidRPr="00CB3B08">
        <w:rPr>
          <w:rFonts w:ascii="Titillium Web" w:hAnsi="Titillium Web" w:cstheme="minorHAnsi"/>
          <w:color w:val="0D0D0D" w:themeColor="text1" w:themeTint="F2"/>
        </w:rPr>
        <w:t>pocztą</w:t>
      </w:r>
      <w:r w:rsidRPr="00CB3B08">
        <w:rPr>
          <w:rFonts w:ascii="Titillium Web" w:hAnsi="Titillium Web" w:cstheme="minorHAnsi"/>
          <w:color w:val="0D0D0D" w:themeColor="text1" w:themeTint="F2"/>
        </w:rPr>
        <w:t xml:space="preserve"> </w:t>
      </w:r>
      <w:r w:rsidR="003729B1" w:rsidRPr="00CB3B08">
        <w:rPr>
          <w:rFonts w:ascii="Titillium Web" w:hAnsi="Titillium Web" w:cstheme="minorHAnsi"/>
          <w:color w:val="0D0D0D" w:themeColor="text1" w:themeTint="F2"/>
        </w:rPr>
        <w:t>elektroniczną</w:t>
      </w:r>
      <w:r w:rsidRPr="00CB3B08">
        <w:rPr>
          <w:rFonts w:ascii="Titillium Web" w:hAnsi="Titillium Web" w:cstheme="minorHAnsi"/>
          <w:color w:val="0D0D0D" w:themeColor="text1" w:themeTint="F2"/>
        </w:rPr>
        <w:t xml:space="preserve"> lub w inny uzgodniony przez strony sposób oraz zawierać :</w:t>
      </w:r>
    </w:p>
    <w:p w:rsidR="00C77CFF" w:rsidRPr="00CB3B08" w:rsidRDefault="00C77CFF" w:rsidP="00C77CFF">
      <w:pPr>
        <w:numPr>
          <w:ilvl w:val="0"/>
          <w:numId w:val="11"/>
        </w:numPr>
        <w:tabs>
          <w:tab w:val="clear" w:pos="720"/>
          <w:tab w:val="num" w:pos="567"/>
        </w:tabs>
        <w:spacing w:before="150" w:after="150"/>
        <w:ind w:left="567" w:hanging="567"/>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dane identyfikujące Nabywcę niezbędne do wystawienia faktury VAT oraz dane kontaktowe osób umocowanych przez Nabywcę do składania zamówień, w tym numer </w:t>
      </w:r>
      <w:r w:rsidR="004811D9" w:rsidRPr="00CB3B08">
        <w:rPr>
          <w:rFonts w:ascii="Titillium Web" w:hAnsi="Titillium Web" w:cstheme="minorHAnsi"/>
          <w:color w:val="0D0D0D" w:themeColor="text1" w:themeTint="F2"/>
        </w:rPr>
        <w:t>kontaktowy oraz</w:t>
      </w:r>
      <w:r w:rsidRPr="00CB3B08">
        <w:rPr>
          <w:rFonts w:ascii="Titillium Web" w:hAnsi="Titillium Web" w:cstheme="minorHAnsi"/>
          <w:color w:val="0D0D0D" w:themeColor="text1" w:themeTint="F2"/>
        </w:rPr>
        <w:t xml:space="preserve"> adres poczty elektronicznej – domniemywa się, że osoba wysyłająca zamówienie z adresu e-mailowego Nabywcy jest uprawniona do składania w jego imieniu wszelkich zamówień; w przypadku zamówień składanych za pośrednictwem poczty elektronicznej uznaje się nadto, że adres spod którego wysłano zamówienie jest właściwym adresem kontaktowym Nabywcy, jeżeli na określonym zamówieniu nie został wskazany inny e-mailowy adres kontaktowy.</w:t>
      </w:r>
    </w:p>
    <w:p w:rsidR="00C76770" w:rsidRPr="00CB3B08" w:rsidRDefault="00C76770" w:rsidP="00C76770">
      <w:pPr>
        <w:numPr>
          <w:ilvl w:val="0"/>
          <w:numId w:val="11"/>
        </w:numPr>
        <w:tabs>
          <w:tab w:val="clear" w:pos="720"/>
          <w:tab w:val="num" w:pos="567"/>
        </w:tabs>
        <w:spacing w:before="150" w:after="150"/>
        <w:ind w:left="567" w:hanging="567"/>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określenie rodzaju i ilości zamawianych towarów lub usług ze wskazaniem przypisanego przez Sprzedającego do danego towaru lub usługi symbolu lub nazwy, podanego w ofercie lub cenniku (ewentualnie ze wskazaniem przypisanego do danego towaru lub usługi symbolu Nabywcy uzgodnionego ze Sprzedającym), przy czym odnośnie ilości zamawianych towarów lub usług nie może to </w:t>
      </w:r>
      <w:r w:rsidR="00CB4376" w:rsidRPr="00CB3B08">
        <w:rPr>
          <w:rFonts w:ascii="Titillium Web" w:hAnsi="Titillium Web" w:cstheme="minorHAnsi"/>
          <w:color w:val="0D0D0D" w:themeColor="text1" w:themeTint="F2"/>
        </w:rPr>
        <w:t>być ilość mniejsza niż podana w </w:t>
      </w:r>
      <w:r w:rsidRPr="00CB3B08">
        <w:rPr>
          <w:rFonts w:ascii="Titillium Web" w:hAnsi="Titillium Web" w:cstheme="minorHAnsi"/>
          <w:color w:val="0D0D0D" w:themeColor="text1" w:themeTint="F2"/>
        </w:rPr>
        <w:t xml:space="preserve">indywidualnej ofercie lub w aktualnym cenniku ilość minimalna (tzw. MOQ - tj. Minimum Order </w:t>
      </w:r>
      <w:proofErr w:type="spellStart"/>
      <w:r w:rsidRPr="00CB3B08">
        <w:rPr>
          <w:rFonts w:ascii="Titillium Web" w:hAnsi="Titillium Web" w:cstheme="minorHAnsi"/>
          <w:color w:val="0D0D0D" w:themeColor="text1" w:themeTint="F2"/>
        </w:rPr>
        <w:t>Quantity</w:t>
      </w:r>
      <w:proofErr w:type="spellEnd"/>
      <w:r w:rsidRPr="00CB3B08">
        <w:rPr>
          <w:rFonts w:ascii="Titillium Web" w:hAnsi="Titillium Web" w:cstheme="minorHAnsi"/>
          <w:color w:val="0D0D0D" w:themeColor="text1" w:themeTint="F2"/>
        </w:rPr>
        <w:t xml:space="preserve"> /Minimalna Wielkość Zamówienia) oraz pełny numer oferty – w przypadku zamówienia składanego na podstawie przyjętej indywidualnej oferty.</w:t>
      </w:r>
    </w:p>
    <w:p w:rsidR="00C77CFF" w:rsidRPr="00CB3B08" w:rsidRDefault="00C77CFF" w:rsidP="00C77CFF">
      <w:pPr>
        <w:numPr>
          <w:ilvl w:val="0"/>
          <w:numId w:val="12"/>
        </w:numPr>
        <w:tabs>
          <w:tab w:val="clear" w:pos="720"/>
          <w:tab w:val="num" w:pos="567"/>
        </w:tabs>
        <w:spacing w:before="150" w:after="150"/>
        <w:ind w:left="567" w:hanging="567"/>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określenie miejsca dostawy zamawianych towarów lub usług, w sytuacji, gdy dostawa będzie realizowana pod inny adres niż adres </w:t>
      </w:r>
      <w:r w:rsidR="004811D9" w:rsidRPr="00CB3B08">
        <w:rPr>
          <w:rFonts w:ascii="Titillium Web" w:hAnsi="Titillium Web" w:cstheme="minorHAnsi"/>
          <w:color w:val="0D0D0D" w:themeColor="text1" w:themeTint="F2"/>
        </w:rPr>
        <w:t>rejestrowy Nabywcy.</w:t>
      </w:r>
      <w:r w:rsidR="00F1431B" w:rsidRPr="00CB3B08">
        <w:rPr>
          <w:rFonts w:ascii="Titillium Web" w:hAnsi="Titillium Web" w:cstheme="minorHAnsi"/>
          <w:color w:val="0D0D0D" w:themeColor="text1" w:themeTint="F2"/>
        </w:rPr>
        <w:t xml:space="preserve"> Jeżeli adres dostawy nie zostanie podany, zamówiony towar zostanie dostarczony pod adres rejestrowy Nabywcy.</w:t>
      </w:r>
    </w:p>
    <w:p w:rsidR="004811D9" w:rsidRPr="00CB3B08" w:rsidRDefault="004811D9" w:rsidP="004811D9">
      <w:pPr>
        <w:pStyle w:val="NormalnyWeb"/>
        <w:spacing w:before="0" w:beforeAutospacing="0" w:after="0" w:afterAutospacing="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Zamówienia nie spełniające powyższych wymagań co do ich formy i treści mogą zostać przez Sprzedającego uznane za w ogóle nie złożone przez Nabywcę.</w:t>
      </w:r>
    </w:p>
    <w:p w:rsidR="00C76770" w:rsidRPr="00CB3B08" w:rsidRDefault="004811D9" w:rsidP="004F466C">
      <w:pPr>
        <w:pStyle w:val="Akapitzlist"/>
        <w:numPr>
          <w:ilvl w:val="0"/>
          <w:numId w:val="13"/>
        </w:numPr>
        <w:tabs>
          <w:tab w:val="clear" w:pos="720"/>
          <w:tab w:val="num" w:pos="284"/>
        </w:tabs>
        <w:spacing w:before="150" w:after="150"/>
        <w:ind w:left="284" w:hanging="284"/>
        <w:jc w:val="both"/>
        <w:rPr>
          <w:rFonts w:ascii="Titillium Web" w:hAnsi="Titillium Web" w:cstheme="minorHAnsi"/>
          <w:color w:val="0D0D0D" w:themeColor="text1" w:themeTint="F2"/>
          <w:sz w:val="24"/>
        </w:rPr>
      </w:pPr>
      <w:r w:rsidRPr="00CB3B08">
        <w:rPr>
          <w:rFonts w:ascii="Titillium Web" w:hAnsi="Titillium Web" w:cstheme="minorHAnsi"/>
          <w:color w:val="0D0D0D" w:themeColor="text1" w:themeTint="F2"/>
          <w:sz w:val="24"/>
        </w:rPr>
        <w:t xml:space="preserve">Nabywca w przesłanym zamówieniu może </w:t>
      </w:r>
      <w:r w:rsidR="00AB10E0" w:rsidRPr="00CB3B08">
        <w:rPr>
          <w:rFonts w:ascii="Titillium Web" w:hAnsi="Titillium Web" w:cstheme="minorHAnsi"/>
          <w:color w:val="0D0D0D" w:themeColor="text1" w:themeTint="F2"/>
          <w:sz w:val="24"/>
        </w:rPr>
        <w:t>określić</w:t>
      </w:r>
      <w:r w:rsidRPr="00CB3B08">
        <w:rPr>
          <w:rFonts w:ascii="Titillium Web" w:hAnsi="Titillium Web" w:cstheme="minorHAnsi"/>
          <w:color w:val="0D0D0D" w:themeColor="text1" w:themeTint="F2"/>
          <w:sz w:val="24"/>
        </w:rPr>
        <w:t xml:space="preserve"> również </w:t>
      </w:r>
      <w:r w:rsidR="00C77CFF" w:rsidRPr="00CB3B08">
        <w:rPr>
          <w:rFonts w:ascii="Titillium Web" w:hAnsi="Titillium Web" w:cstheme="minorHAnsi"/>
          <w:color w:val="0D0D0D" w:themeColor="text1" w:themeTint="F2"/>
          <w:sz w:val="24"/>
        </w:rPr>
        <w:t>oczekiwan</w:t>
      </w:r>
      <w:r w:rsidRPr="00CB3B08">
        <w:rPr>
          <w:rFonts w:ascii="Titillium Web" w:hAnsi="Titillium Web" w:cstheme="minorHAnsi"/>
          <w:color w:val="0D0D0D" w:themeColor="text1" w:themeTint="F2"/>
          <w:sz w:val="24"/>
        </w:rPr>
        <w:t xml:space="preserve">y </w:t>
      </w:r>
      <w:r w:rsidR="00C77CFF" w:rsidRPr="00CB3B08">
        <w:rPr>
          <w:rFonts w:ascii="Titillium Web" w:hAnsi="Titillium Web" w:cstheme="minorHAnsi"/>
          <w:color w:val="0D0D0D" w:themeColor="text1" w:themeTint="F2"/>
          <w:sz w:val="24"/>
        </w:rPr>
        <w:t>termin</w:t>
      </w:r>
      <w:r w:rsidRPr="00CB3B08">
        <w:rPr>
          <w:rFonts w:ascii="Titillium Web" w:hAnsi="Titillium Web" w:cstheme="minorHAnsi"/>
          <w:color w:val="0D0D0D" w:themeColor="text1" w:themeTint="F2"/>
          <w:sz w:val="24"/>
        </w:rPr>
        <w:t>y</w:t>
      </w:r>
      <w:r w:rsidR="00C77CFF" w:rsidRPr="00CB3B08">
        <w:rPr>
          <w:rFonts w:ascii="Titillium Web" w:hAnsi="Titillium Web" w:cstheme="minorHAnsi"/>
          <w:color w:val="0D0D0D" w:themeColor="text1" w:themeTint="F2"/>
          <w:sz w:val="24"/>
        </w:rPr>
        <w:t xml:space="preserve"> dostawy</w:t>
      </w:r>
      <w:r w:rsidRPr="00CB3B08">
        <w:rPr>
          <w:rFonts w:ascii="Titillium Web" w:hAnsi="Titillium Web" w:cstheme="minorHAnsi"/>
          <w:color w:val="0D0D0D" w:themeColor="text1" w:themeTint="F2"/>
          <w:sz w:val="24"/>
        </w:rPr>
        <w:t>.</w:t>
      </w:r>
      <w:r w:rsidR="00C77CFF" w:rsidRPr="00CB3B08">
        <w:rPr>
          <w:rFonts w:ascii="Titillium Web" w:hAnsi="Titillium Web" w:cstheme="minorHAnsi"/>
          <w:color w:val="0D0D0D" w:themeColor="text1" w:themeTint="F2"/>
          <w:sz w:val="24"/>
        </w:rPr>
        <w:t xml:space="preserve"> </w:t>
      </w:r>
      <w:r w:rsidR="005B6FAC" w:rsidRPr="00CB3B08">
        <w:rPr>
          <w:rFonts w:ascii="Titillium Web" w:hAnsi="Titillium Web" w:cstheme="minorHAnsi"/>
          <w:color w:val="0D0D0D" w:themeColor="text1" w:themeTint="F2"/>
          <w:sz w:val="24"/>
        </w:rPr>
        <w:t>W </w:t>
      </w:r>
      <w:r w:rsidR="00C77CFF" w:rsidRPr="00CB3B08">
        <w:rPr>
          <w:rFonts w:ascii="Titillium Web" w:hAnsi="Titillium Web" w:cstheme="minorHAnsi"/>
          <w:color w:val="0D0D0D" w:themeColor="text1" w:themeTint="F2"/>
          <w:sz w:val="24"/>
        </w:rPr>
        <w:t>przypadku braku możliwości realizacji określonego z</w:t>
      </w:r>
      <w:r w:rsidR="005B6FAC" w:rsidRPr="00CB3B08">
        <w:rPr>
          <w:rFonts w:ascii="Titillium Web" w:hAnsi="Titillium Web" w:cstheme="minorHAnsi"/>
          <w:color w:val="0D0D0D" w:themeColor="text1" w:themeTint="F2"/>
          <w:sz w:val="24"/>
        </w:rPr>
        <w:t>amówienia przez Sprzedającego w </w:t>
      </w:r>
      <w:r w:rsidR="00C77CFF" w:rsidRPr="00CB3B08">
        <w:rPr>
          <w:rFonts w:ascii="Titillium Web" w:hAnsi="Titillium Web" w:cstheme="minorHAnsi"/>
          <w:color w:val="0D0D0D" w:themeColor="text1" w:themeTint="F2"/>
          <w:sz w:val="24"/>
        </w:rPr>
        <w:t>terminie wskazanym w zamówieniu Nabywcy, Sprzedający w wysłanym potwierdzeniu zamówienia przedstawi Nabywcy najbliższy możliwy termin wykonania tego zamówienia. Termin ten jest wiążący dla stron o ile Nabywca w ciągu 24 godzin od wysłania przez Sprzedającego potwierdzenia zamówienia nie złoży oświadczenia o  jego wycofaniu. Planowany termin realizacji zamówienia oznacza dzień, w którym zamówiony towar będzie gotowy do odbioru przez Nabywcę z siedziby Sprzedającego. Na żądanie Nabywcy towar może być dostarczony do wskazanego miejsca, na koszt Nabywcy lub w inny uzgodniony przez strony sposób, przy czym za datę dostawy przy</w:t>
      </w:r>
      <w:r w:rsidR="00CB3B08" w:rsidRPr="00CB3B08">
        <w:rPr>
          <w:rFonts w:ascii="Titillium Web" w:hAnsi="Titillium Web" w:cstheme="minorHAnsi"/>
          <w:color w:val="0D0D0D" w:themeColor="text1" w:themeTint="F2"/>
          <w:sz w:val="24"/>
        </w:rPr>
        <w:t>jmuje się datę wydania towaru z </w:t>
      </w:r>
      <w:r w:rsidR="00C77CFF" w:rsidRPr="00CB3B08">
        <w:rPr>
          <w:rFonts w:ascii="Titillium Web" w:hAnsi="Titillium Web" w:cstheme="minorHAnsi"/>
          <w:color w:val="0D0D0D" w:themeColor="text1" w:themeTint="F2"/>
          <w:sz w:val="24"/>
        </w:rPr>
        <w:t xml:space="preserve">magazynu Sprzedającego. </w:t>
      </w:r>
      <w:r w:rsidR="00C76770" w:rsidRPr="00CB3B08">
        <w:rPr>
          <w:rFonts w:ascii="Titillium Web" w:hAnsi="Titillium Web" w:cstheme="minorHAnsi"/>
          <w:color w:val="0D0D0D" w:themeColor="text1" w:themeTint="F2"/>
          <w:sz w:val="24"/>
        </w:rPr>
        <w:t> </w:t>
      </w:r>
    </w:p>
    <w:p w:rsidR="004F466C" w:rsidRPr="00CB3B08" w:rsidRDefault="004F466C" w:rsidP="004811D9">
      <w:pPr>
        <w:spacing w:before="150" w:after="150"/>
        <w:jc w:val="both"/>
        <w:rPr>
          <w:rFonts w:ascii="Titillium Web" w:hAnsi="Titillium Web" w:cstheme="minorHAnsi"/>
          <w:color w:val="0D0D0D" w:themeColor="text1" w:themeTint="F2"/>
        </w:rPr>
      </w:pPr>
    </w:p>
    <w:p w:rsidR="00D41E38" w:rsidRPr="00CB3B08" w:rsidRDefault="00C76770" w:rsidP="00203F73">
      <w:pPr>
        <w:numPr>
          <w:ilvl w:val="0"/>
          <w:numId w:val="13"/>
        </w:numPr>
        <w:tabs>
          <w:tab w:val="clear" w:pos="720"/>
          <w:tab w:val="num" w:pos="284"/>
        </w:tabs>
        <w:spacing w:before="150" w:after="150"/>
        <w:ind w:left="284" w:hanging="284"/>
        <w:jc w:val="both"/>
        <w:rPr>
          <w:color w:val="0D0D0D" w:themeColor="text1" w:themeTint="F2"/>
        </w:rPr>
      </w:pPr>
      <w:r w:rsidRPr="00CB3B08">
        <w:rPr>
          <w:rFonts w:ascii="Titillium Web" w:hAnsi="Titillium Web" w:cstheme="minorHAnsi"/>
          <w:color w:val="0D0D0D" w:themeColor="text1" w:themeTint="F2"/>
        </w:rPr>
        <w:t>Za treść każdego zamówienia odpowiedzialność ponosi Nabywca, wobec czego ewentualne błędy popełnione w treści zamówienia obciążają wyłącznie Nabywcę. Nabywca zlecając Sprzedającemu umieszczenie oznaczeń graficznych,</w:t>
      </w:r>
      <w:r w:rsidR="00CB4376" w:rsidRPr="00CB3B08">
        <w:rPr>
          <w:rFonts w:ascii="Titillium Web" w:hAnsi="Titillium Web" w:cstheme="minorHAnsi"/>
          <w:color w:val="0D0D0D" w:themeColor="text1" w:themeTint="F2"/>
        </w:rPr>
        <w:t xml:space="preserve"> logotypów, znaków towarowych i </w:t>
      </w:r>
      <w:r w:rsidRPr="00CB3B08">
        <w:rPr>
          <w:rFonts w:ascii="Titillium Web" w:hAnsi="Titillium Web" w:cstheme="minorHAnsi"/>
          <w:color w:val="0D0D0D" w:themeColor="text1" w:themeTint="F2"/>
        </w:rPr>
        <w:t>innych na produkcie, zapewnia, że przysługują mu autorskie prawa majątkowe oraz prawa do znaków towarowych lub posiada zgodę uprawnionego w tym zakresie. Nabywca upoważnia Sprzedającego do korzystania z tych materiałów w zakresie koniecznym do wykonania umowy. Nabywca wyraża zgodę na wykorzystanie przez Sprzedającego towarów wyłącznie dla potrzeb promocji i reklamy usług Sprzedającego. Jeżeli Nabywca nie wyraża takiej zgody, zobowiązany jest do złożenia Sprzeda</w:t>
      </w:r>
      <w:r w:rsidR="00CB4376" w:rsidRPr="00CB3B08">
        <w:rPr>
          <w:rFonts w:ascii="Titillium Web" w:hAnsi="Titillium Web" w:cstheme="minorHAnsi"/>
          <w:color w:val="0D0D0D" w:themeColor="text1" w:themeTint="F2"/>
        </w:rPr>
        <w:t>jącemu pisemnego oświadczenia o </w:t>
      </w:r>
      <w:r w:rsidRPr="00CB3B08">
        <w:rPr>
          <w:rFonts w:ascii="Titillium Web" w:hAnsi="Titillium Web" w:cstheme="minorHAnsi"/>
          <w:color w:val="0D0D0D" w:themeColor="text1" w:themeTint="F2"/>
        </w:rPr>
        <w:t>wycofaniu zgody.</w:t>
      </w:r>
    </w:p>
    <w:p w:rsidR="00203F73" w:rsidRPr="00CB3B08" w:rsidRDefault="00203F73" w:rsidP="00203F73">
      <w:pPr>
        <w:numPr>
          <w:ilvl w:val="0"/>
          <w:numId w:val="13"/>
        </w:numPr>
        <w:tabs>
          <w:tab w:val="clear" w:pos="720"/>
          <w:tab w:val="num" w:pos="284"/>
        </w:tabs>
        <w:spacing w:before="150" w:after="150"/>
        <w:ind w:left="284" w:hanging="284"/>
        <w:jc w:val="both"/>
        <w:rPr>
          <w:color w:val="0D0D0D" w:themeColor="text1" w:themeTint="F2"/>
        </w:rPr>
      </w:pPr>
      <w:r w:rsidRPr="00CB3B08">
        <w:rPr>
          <w:rFonts w:ascii="Titillium Web" w:hAnsi="Titillium Web" w:cstheme="minorHAnsi"/>
          <w:color w:val="0D0D0D" w:themeColor="text1" w:themeTint="F2"/>
        </w:rPr>
        <w:t xml:space="preserve">W przypadku produkcji towaru wykonywanego według określonego projektu i specyfikacji, wymagana jest pisemna akceptacja </w:t>
      </w:r>
      <w:r w:rsidR="00F95561" w:rsidRPr="00CB3B08">
        <w:rPr>
          <w:rFonts w:ascii="Titillium Web" w:hAnsi="Titillium Web" w:cstheme="minorHAnsi"/>
          <w:color w:val="0D0D0D" w:themeColor="text1" w:themeTint="F2"/>
        </w:rPr>
        <w:t>Karty Wzoru złożona przez Nabywcę</w:t>
      </w:r>
      <w:r w:rsidR="002A430F" w:rsidRPr="00CB3B08">
        <w:rPr>
          <w:rFonts w:ascii="Titillium Web" w:hAnsi="Titillium Web" w:cstheme="minorHAnsi"/>
          <w:color w:val="0D0D0D" w:themeColor="text1" w:themeTint="F2"/>
        </w:rPr>
        <w:t xml:space="preserve"> lub akceptacja </w:t>
      </w:r>
      <w:proofErr w:type="spellStart"/>
      <w:r w:rsidR="002A430F" w:rsidRPr="00CB3B08">
        <w:rPr>
          <w:rFonts w:ascii="Titillium Web" w:hAnsi="Titillium Web" w:cstheme="minorHAnsi"/>
          <w:color w:val="0D0D0D" w:themeColor="text1" w:themeTint="F2"/>
        </w:rPr>
        <w:t>proof’a</w:t>
      </w:r>
      <w:proofErr w:type="spellEnd"/>
      <w:r w:rsidR="002A430F" w:rsidRPr="00CB3B08">
        <w:rPr>
          <w:rFonts w:ascii="Titillium Web" w:hAnsi="Titillium Web" w:cstheme="minorHAnsi"/>
          <w:color w:val="0D0D0D" w:themeColor="text1" w:themeTint="F2"/>
        </w:rPr>
        <w:t xml:space="preserve"> cyfrowego, </w:t>
      </w:r>
      <w:r w:rsidR="002A430F" w:rsidRPr="00CB3B08">
        <w:rPr>
          <w:rFonts w:ascii="Titillium Web" w:hAnsi="Titillium Web" w:cstheme="minorHAnsi"/>
          <w:color w:val="0D0D0D" w:themeColor="text1" w:themeTint="F2"/>
        </w:rPr>
        <w:t>zawierającego dodatkowo zbliżone odwzorowanie kolorystyki dla kolorów z gamy CMYK</w:t>
      </w:r>
      <w:r w:rsidR="00F95561" w:rsidRPr="00CB3B08">
        <w:rPr>
          <w:rFonts w:ascii="Titillium Web" w:hAnsi="Titillium Web" w:cstheme="minorHAnsi"/>
          <w:color w:val="0D0D0D" w:themeColor="text1" w:themeTint="F2"/>
        </w:rPr>
        <w:t>.</w:t>
      </w:r>
      <w:r w:rsidRPr="00CB3B08">
        <w:rPr>
          <w:rFonts w:ascii="Titillium Web" w:hAnsi="Titillium Web" w:cstheme="minorHAnsi"/>
          <w:color w:val="0D0D0D" w:themeColor="text1" w:themeTint="F2"/>
        </w:rPr>
        <w:t xml:space="preserve"> Karta Wzoru</w:t>
      </w:r>
      <w:r w:rsidR="00F95561" w:rsidRPr="00CB3B08">
        <w:rPr>
          <w:rFonts w:ascii="Titillium Web" w:hAnsi="Titillium Web" w:cstheme="minorHAnsi"/>
          <w:color w:val="0D0D0D" w:themeColor="text1" w:themeTint="F2"/>
        </w:rPr>
        <w:t>, przesłana przez Sprzedającego pocztą elektroniczną,</w:t>
      </w:r>
      <w:r w:rsidRPr="00CB3B08">
        <w:rPr>
          <w:rFonts w:ascii="Titillium Web" w:hAnsi="Titillium Web" w:cstheme="minorHAnsi"/>
          <w:color w:val="0D0D0D" w:themeColor="text1" w:themeTint="F2"/>
        </w:rPr>
        <w:t xml:space="preserve"> zawiera określenie wymiaru etykiety, rozmieszczenie elementów graficznych i tekstów oraz kolorystyk</w:t>
      </w:r>
      <w:r w:rsidR="00EE4151" w:rsidRPr="00CB3B08">
        <w:rPr>
          <w:rFonts w:ascii="Titillium Web" w:hAnsi="Titillium Web" w:cstheme="minorHAnsi"/>
          <w:color w:val="0D0D0D" w:themeColor="text1" w:themeTint="F2"/>
        </w:rPr>
        <w:t>i</w:t>
      </w:r>
      <w:r w:rsidRPr="00CB3B08">
        <w:rPr>
          <w:rFonts w:ascii="Titillium Web" w:hAnsi="Titillium Web" w:cstheme="minorHAnsi"/>
          <w:color w:val="0D0D0D" w:themeColor="text1" w:themeTint="F2"/>
        </w:rPr>
        <w:t>. Po akceptacji Karty Wzoru przez Nabywcę, Sprzedający rozpoczyna proces produkcyjny, dlatego wszelkie zmiany nie będą mogły być wprowadzone. Za błędy niezauważone przez Nabywcę w procesie akceptacji Sprzedający nie ponosi odpowiedzialności.</w:t>
      </w:r>
    </w:p>
    <w:p w:rsidR="00C76770" w:rsidRPr="00CB3B08" w:rsidRDefault="00C76770" w:rsidP="00C76770">
      <w:pPr>
        <w:numPr>
          <w:ilvl w:val="0"/>
          <w:numId w:val="13"/>
        </w:numPr>
        <w:spacing w:before="150" w:after="150"/>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Uznaje się, że złożone przez Nabywcę i potwierdzone przez Sprzedającego zamówienie jest nieodwołalne, chyba, że strony odrębnie uzgodnią inaczej. W przypadku wycofania przez Nabywcę potwierdzonego przez Sprzedającego zamówienia zobowiązany on jest do zapłaty Sprzedającemu kary umownej w wysokości stanowiącej równowartość ceny netto przedmiotu wycofanego zamówienia. Wszelkie przedpłaty dokonane uprzednio przez Nabywcę w związku z wycofanym zamówieniem zaliczane będą na poczet tej kary umownej. </w:t>
      </w:r>
    </w:p>
    <w:p w:rsidR="00C76770" w:rsidRPr="00CB3B08" w:rsidRDefault="00C76770" w:rsidP="00C76770">
      <w:pPr>
        <w:numPr>
          <w:ilvl w:val="0"/>
          <w:numId w:val="13"/>
        </w:numPr>
        <w:spacing w:before="150" w:after="150"/>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 przypadku potwierdzenia przez Sprzedającego zamówienia z modyfikacjami w stosunku do zamówienia Nabywcy, które umożliwiają realizację złożonego zamówienia, Nabywca związany jest treścią tych modyfikacji, o ile w ciągu 24 godzin od wysłania potwierdzenia zamówienia,  nie przedstawi Sprzedającemu uwag co do tych modyfikacji albo nie złoży Sprzedającemu oświadczenia o wycofaniu złożonego zamówienia – w takim przypadku pkt. 6 powyżej nie ma zastosowania.</w:t>
      </w:r>
    </w:p>
    <w:p w:rsidR="00C76770" w:rsidRPr="00CB3B08" w:rsidRDefault="00C76770" w:rsidP="00C76770">
      <w:pPr>
        <w:numPr>
          <w:ilvl w:val="0"/>
          <w:numId w:val="13"/>
        </w:numPr>
        <w:spacing w:before="150" w:after="150"/>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Potwierdzenie przez Sprzedającego zamówienia do realizacji, dla swojej ważności, musi być dostarczone do Nabywcy w formie pisemnej, </w:t>
      </w:r>
      <w:r w:rsidR="00C752E9" w:rsidRPr="00CB3B08">
        <w:rPr>
          <w:rFonts w:ascii="Titillium Web" w:hAnsi="Titillium Web" w:cstheme="minorHAnsi"/>
          <w:color w:val="0D0D0D" w:themeColor="text1" w:themeTint="F2"/>
        </w:rPr>
        <w:t>pocztą elektroniczną</w:t>
      </w:r>
      <w:r w:rsidR="00CB4376" w:rsidRPr="00CB3B08">
        <w:rPr>
          <w:rFonts w:ascii="Titillium Web" w:hAnsi="Titillium Web" w:cstheme="minorHAnsi"/>
          <w:color w:val="0D0D0D" w:themeColor="text1" w:themeTint="F2"/>
        </w:rPr>
        <w:t xml:space="preserve"> lub w </w:t>
      </w:r>
      <w:r w:rsidRPr="00CB3B08">
        <w:rPr>
          <w:rFonts w:ascii="Titillium Web" w:hAnsi="Titillium Web" w:cstheme="minorHAnsi"/>
          <w:color w:val="0D0D0D" w:themeColor="text1" w:themeTint="F2"/>
        </w:rPr>
        <w:t>inny uzgodniony przez strony sposób, przez osobę umocowaną w tym zakresie po stronie Sprzedającego.</w:t>
      </w:r>
      <w:r w:rsidR="00707259" w:rsidRPr="00CB3B08">
        <w:rPr>
          <w:rFonts w:ascii="Titillium Web" w:hAnsi="Titillium Web" w:cstheme="minorHAnsi"/>
          <w:color w:val="0D0D0D" w:themeColor="text1" w:themeTint="F2"/>
        </w:rPr>
        <w:t xml:space="preserve"> </w:t>
      </w:r>
      <w:r w:rsidRPr="00CB3B08">
        <w:rPr>
          <w:rFonts w:ascii="Titillium Web" w:hAnsi="Titillium Web" w:cstheme="minorHAnsi"/>
          <w:color w:val="0D0D0D" w:themeColor="text1" w:themeTint="F2"/>
        </w:rPr>
        <w:t>Brak potwierdzenia określonego zamówienia do realizacji przez Sprzedającego w powyższej formie wraz z wszelkimi potrzebnymi do realizacji zamówienia informacjami, jest równoznaczny z tym, że umowa ha</w:t>
      </w:r>
      <w:r w:rsidR="00CB4376" w:rsidRPr="00CB3B08">
        <w:rPr>
          <w:rFonts w:ascii="Titillium Web" w:hAnsi="Titillium Web" w:cstheme="minorHAnsi"/>
          <w:color w:val="0D0D0D" w:themeColor="text1" w:themeTint="F2"/>
        </w:rPr>
        <w:t>ndlowa pomiędzy Sprzedającym, a </w:t>
      </w:r>
      <w:r w:rsidRPr="00CB3B08">
        <w:rPr>
          <w:rFonts w:ascii="Titillium Web" w:hAnsi="Titillium Web" w:cstheme="minorHAnsi"/>
          <w:color w:val="0D0D0D" w:themeColor="text1" w:themeTint="F2"/>
        </w:rPr>
        <w:t xml:space="preserve">Nabywcą nie została </w:t>
      </w:r>
      <w:r w:rsidRPr="00CB3B08">
        <w:rPr>
          <w:rFonts w:ascii="Titillium Web" w:hAnsi="Titillium Web" w:cstheme="minorHAnsi"/>
          <w:color w:val="0D0D0D" w:themeColor="text1" w:themeTint="F2"/>
        </w:rPr>
        <w:lastRenderedPageBreak/>
        <w:t>w ogóle zawarta – przepis art. 68^2 polskiego</w:t>
      </w:r>
      <w:r w:rsidR="0014249C">
        <w:rPr>
          <w:rFonts w:ascii="Titillium Web" w:hAnsi="Titillium Web" w:cstheme="minorHAnsi"/>
          <w:color w:val="0D0D0D" w:themeColor="text1" w:themeTint="F2"/>
        </w:rPr>
        <w:t xml:space="preserve"> Kodeksu Cywilnego stanowiący o </w:t>
      </w:r>
      <w:r w:rsidRPr="00CB3B08">
        <w:rPr>
          <w:rFonts w:ascii="Titillium Web" w:hAnsi="Titillium Web" w:cstheme="minorHAnsi"/>
          <w:color w:val="0D0D0D" w:themeColor="text1" w:themeTint="F2"/>
        </w:rPr>
        <w:t>dorozumianym przyjęciu oferty nie ma zastosowania.</w:t>
      </w:r>
    </w:p>
    <w:p w:rsidR="00D41E38" w:rsidRPr="00CB3B08" w:rsidRDefault="00C76770" w:rsidP="00D41E38">
      <w:pPr>
        <w:pStyle w:val="Akapitzlist"/>
        <w:numPr>
          <w:ilvl w:val="0"/>
          <w:numId w:val="13"/>
        </w:numPr>
        <w:tabs>
          <w:tab w:val="clear" w:pos="720"/>
          <w:tab w:val="num" w:pos="284"/>
        </w:tabs>
        <w:spacing w:before="150" w:after="150" w:line="240" w:lineRule="auto"/>
        <w:ind w:left="284" w:hanging="284"/>
        <w:jc w:val="both"/>
        <w:rPr>
          <w:rFonts w:ascii="Titillium Web" w:hAnsi="Titillium Web" w:cstheme="minorHAnsi"/>
          <w:color w:val="0D0D0D" w:themeColor="text1" w:themeTint="F2"/>
          <w:sz w:val="24"/>
        </w:rPr>
      </w:pPr>
      <w:r w:rsidRPr="00CB3B08">
        <w:rPr>
          <w:rFonts w:ascii="Titillium Web" w:hAnsi="Titillium Web" w:cstheme="minorHAnsi"/>
          <w:color w:val="0D0D0D" w:themeColor="text1" w:themeTint="F2"/>
          <w:sz w:val="24"/>
        </w:rPr>
        <w:t>Sprzedający jest zwolniony wobec Nabywcy ze wszelkiej odpowiedzialności, w tym odpowiedzialności odszkodowawczej, jak również nie będzie związany warunkami zamówienia złożonego przez Nabywcę i potwierdzonego przez niego w potwierdzeniu zamówienia, jeżeli jego wykonanie stało się niemożliwe wskutek działania siły wyższej lub wskutek wystąpienia innych okoliczności niezależnych od Sprzedającego i pozostających poza jego kontrolą, w szczególności w przypadku takiego działania lub zaniechania Nabywcy, że dostarczenie Nabywcy towarów lub usług zgodnie z warunkami potwierdzonego zamówienia stało się niemożliwe lub nadmiernie utrudnione. Siła wyższa i inne okoliczności niezależne od Sprzedającego uniemożliwiające lub znacznie utrudniające należyte wykonywanie przez niego zobowiązań wynikających z zawartych umów handlowych, uprawniają Sprzedającego w ich zakresie i przez czasookres ich trwania do całkowitego wstrzymania dostaw do Nabywcy towarów lub usług będących przedmiotem tych umów lub do odpowiedniego przesunięcia terminu ich realizacji.</w:t>
      </w:r>
    </w:p>
    <w:p w:rsidR="004F466C" w:rsidRPr="00CB3B08" w:rsidRDefault="004F466C" w:rsidP="004F466C">
      <w:pPr>
        <w:pStyle w:val="Akapitzlist"/>
        <w:spacing w:before="150" w:after="150" w:line="240" w:lineRule="auto"/>
        <w:ind w:left="284"/>
        <w:jc w:val="both"/>
        <w:rPr>
          <w:rFonts w:ascii="Titillium Web" w:hAnsi="Titillium Web" w:cstheme="minorHAnsi"/>
          <w:color w:val="0D0D0D" w:themeColor="text1" w:themeTint="F2"/>
          <w:sz w:val="24"/>
        </w:rPr>
      </w:pPr>
    </w:p>
    <w:p w:rsidR="004F466C" w:rsidRPr="00CB3B08" w:rsidRDefault="00C76770" w:rsidP="004F466C">
      <w:pPr>
        <w:pStyle w:val="Akapitzlist"/>
        <w:numPr>
          <w:ilvl w:val="0"/>
          <w:numId w:val="13"/>
        </w:numPr>
        <w:tabs>
          <w:tab w:val="clear" w:pos="720"/>
          <w:tab w:val="num" w:pos="284"/>
        </w:tabs>
        <w:spacing w:before="150" w:after="150"/>
        <w:ind w:left="284" w:hanging="284"/>
        <w:jc w:val="both"/>
        <w:rPr>
          <w:rFonts w:ascii="Titillium Web" w:hAnsi="Titillium Web" w:cstheme="minorHAnsi"/>
          <w:color w:val="0D0D0D" w:themeColor="text1" w:themeTint="F2"/>
          <w:sz w:val="24"/>
        </w:rPr>
      </w:pPr>
      <w:r w:rsidRPr="00CB3B08">
        <w:rPr>
          <w:rFonts w:ascii="Titillium Web" w:hAnsi="Titillium Web" w:cstheme="minorHAnsi"/>
          <w:color w:val="0D0D0D" w:themeColor="text1" w:themeTint="F2"/>
          <w:sz w:val="24"/>
        </w:rPr>
        <w:t>Sprzedający jest zwolniony wobec Nabywcy ze wszelkiej odpowiedzialności, w tym odpowiedzialności odszkodowawczej, jak również nie będzie związany warunkami zamówienia złożonego przez Nabywcę i potwierdzonego przez niego w potwierdzeniu zamówienia jeżeli łączne zadłużenie Nabywcy wobec Sprzedającego przekroczy ustalony dopuszczalny limit (o ile kwota takiego limitu została po</w:t>
      </w:r>
      <w:r w:rsidR="00CB4376" w:rsidRPr="00CB3B08">
        <w:rPr>
          <w:rFonts w:ascii="Titillium Web" w:hAnsi="Titillium Web" w:cstheme="minorHAnsi"/>
          <w:color w:val="0D0D0D" w:themeColor="text1" w:themeTint="F2"/>
          <w:sz w:val="24"/>
        </w:rPr>
        <w:t>między stronami ustalona)</w:t>
      </w:r>
      <w:r w:rsidR="00EE4151" w:rsidRPr="00CB3B08">
        <w:rPr>
          <w:rFonts w:ascii="Titillium Web" w:hAnsi="Titillium Web" w:cstheme="minorHAnsi"/>
          <w:color w:val="0D0D0D" w:themeColor="text1" w:themeTint="F2"/>
          <w:sz w:val="24"/>
        </w:rPr>
        <w:t>.</w:t>
      </w:r>
    </w:p>
    <w:p w:rsidR="004F466C" w:rsidRPr="00CB3B08" w:rsidRDefault="004F466C" w:rsidP="004F466C">
      <w:pPr>
        <w:pStyle w:val="Akapitzlist"/>
        <w:spacing w:before="150" w:after="150" w:line="240" w:lineRule="auto"/>
        <w:ind w:left="300"/>
        <w:jc w:val="both"/>
        <w:rPr>
          <w:rFonts w:ascii="Titillium Web" w:hAnsi="Titillium Web" w:cstheme="minorHAnsi"/>
          <w:color w:val="0D0D0D" w:themeColor="text1" w:themeTint="F2"/>
        </w:rPr>
      </w:pPr>
    </w:p>
    <w:p w:rsidR="00C76770" w:rsidRPr="00CB3B08" w:rsidRDefault="00C76770" w:rsidP="004F466C">
      <w:pPr>
        <w:pStyle w:val="Akapitzlist"/>
        <w:numPr>
          <w:ilvl w:val="0"/>
          <w:numId w:val="13"/>
        </w:numPr>
        <w:tabs>
          <w:tab w:val="clear" w:pos="720"/>
          <w:tab w:val="num" w:pos="284"/>
        </w:tabs>
        <w:spacing w:before="150" w:after="150" w:line="240" w:lineRule="auto"/>
        <w:ind w:left="300" w:hanging="300"/>
        <w:jc w:val="both"/>
        <w:rPr>
          <w:rFonts w:ascii="Titillium Web" w:hAnsi="Titillium Web" w:cstheme="minorHAnsi"/>
          <w:color w:val="0D0D0D" w:themeColor="text1" w:themeTint="F2"/>
          <w:sz w:val="24"/>
        </w:rPr>
      </w:pPr>
      <w:r w:rsidRPr="00CB3B08">
        <w:rPr>
          <w:rFonts w:ascii="Titillium Web" w:hAnsi="Titillium Web" w:cstheme="minorHAnsi"/>
          <w:color w:val="0D0D0D" w:themeColor="text1" w:themeTint="F2"/>
          <w:sz w:val="24"/>
        </w:rPr>
        <w:t>Odpowiedzialność kontraktowa Sprzedającego z tytułu niewykonania lub nienależytego wykonania określonej umowy handlowej zawartej z Nabywcą, jak też odpowiedzialność Sprzedającego za jakość świadczenia z tytułu określonej umowy handlowej ograniczona jest, w każdym przypadku, do kwoty stanowiącej równowartość ceny netto sprzedaży towarów lub usług należnej Sprzedającemu na gruncie danej umowy handlowej. Odpowiedzialność Sprzedającego za jakiekolwiek szkody pośrednie lub następcze poniesione przez Nabywcę wskutek niewykonania lub nienależytego wykonania przez niego zobowiązań wynikających z określonej umowy handlowej, jak również za utracone przez Nabywcę wskutek powyższych okoliczności korzyści, jest całkowicie wyłączona.</w:t>
      </w:r>
    </w:p>
    <w:p w:rsidR="00CB4376" w:rsidRPr="00CB3B08" w:rsidRDefault="00CB4376" w:rsidP="003845EA">
      <w:pPr>
        <w:spacing w:before="150" w:after="150"/>
        <w:ind w:left="300"/>
        <w:jc w:val="both"/>
        <w:rPr>
          <w:rFonts w:ascii="Titillium Web" w:hAnsi="Titillium Web" w:cstheme="minorHAnsi"/>
          <w:color w:val="0D0D0D" w:themeColor="text1" w:themeTint="F2"/>
        </w:rPr>
      </w:pPr>
    </w:p>
    <w:p w:rsidR="004F466C" w:rsidRPr="00CB3B08" w:rsidRDefault="004F466C" w:rsidP="003845EA">
      <w:pPr>
        <w:spacing w:before="150" w:after="150"/>
        <w:ind w:left="300"/>
        <w:jc w:val="both"/>
        <w:rPr>
          <w:rFonts w:ascii="Titillium Web" w:hAnsi="Titillium Web" w:cstheme="minorHAnsi"/>
          <w:color w:val="0D0D0D" w:themeColor="text1" w:themeTint="F2"/>
        </w:rPr>
      </w:pPr>
    </w:p>
    <w:p w:rsidR="004F466C" w:rsidRPr="00CB3B08" w:rsidRDefault="004F466C" w:rsidP="003845EA">
      <w:pPr>
        <w:spacing w:before="150" w:after="150"/>
        <w:ind w:left="300"/>
        <w:jc w:val="both"/>
        <w:rPr>
          <w:rFonts w:ascii="Titillium Web" w:hAnsi="Titillium Web" w:cstheme="minorHAnsi"/>
          <w:color w:val="0D0D0D" w:themeColor="text1" w:themeTint="F2"/>
        </w:rPr>
      </w:pPr>
    </w:p>
    <w:p w:rsidR="004F466C" w:rsidRPr="00CB3B08" w:rsidRDefault="004F466C" w:rsidP="003845EA">
      <w:pPr>
        <w:spacing w:before="150" w:after="150"/>
        <w:ind w:left="300"/>
        <w:jc w:val="both"/>
        <w:rPr>
          <w:rFonts w:ascii="Titillium Web" w:hAnsi="Titillium Web" w:cstheme="minorHAnsi"/>
          <w:color w:val="0D0D0D" w:themeColor="text1" w:themeTint="F2"/>
        </w:rPr>
      </w:pPr>
    </w:p>
    <w:p w:rsidR="004F466C" w:rsidRPr="00CB3B08" w:rsidRDefault="004F466C" w:rsidP="003845EA">
      <w:pPr>
        <w:spacing w:before="150" w:after="150"/>
        <w:ind w:left="300"/>
        <w:jc w:val="both"/>
        <w:rPr>
          <w:rFonts w:ascii="Titillium Web" w:hAnsi="Titillium Web" w:cstheme="minorHAnsi"/>
          <w:color w:val="0D0D0D" w:themeColor="text1" w:themeTint="F2"/>
        </w:rPr>
      </w:pPr>
    </w:p>
    <w:p w:rsidR="00C76770" w:rsidRPr="00CB3B08" w:rsidRDefault="00C76770" w:rsidP="00C76770">
      <w:pPr>
        <w:pStyle w:val="NormalnyWeb"/>
        <w:spacing w:before="0" w:beforeAutospacing="0" w:after="0" w:afterAutospacing="0"/>
        <w:rPr>
          <w:rFonts w:ascii="Titillium Web" w:hAnsi="Titillium Web" w:cstheme="minorHAnsi"/>
          <w:color w:val="0D0D0D" w:themeColor="text1" w:themeTint="F2"/>
        </w:rPr>
      </w:pPr>
      <w:r w:rsidRPr="00CB3B08">
        <w:rPr>
          <w:rFonts w:ascii="Titillium Web" w:hAnsi="Titillium Web" w:cstheme="minorHAnsi"/>
          <w:color w:val="0D0D0D" w:themeColor="text1" w:themeTint="F2"/>
        </w:rPr>
        <w:lastRenderedPageBreak/>
        <w:t> </w:t>
      </w:r>
      <w:r w:rsidRPr="00CB3B08">
        <w:rPr>
          <w:rFonts w:ascii="Titillium Web" w:hAnsi="Titillium Web" w:cstheme="minorHAnsi"/>
          <w:b/>
          <w:bCs/>
          <w:color w:val="0D0D0D" w:themeColor="text1" w:themeTint="F2"/>
        </w:rPr>
        <w:t>II. CENY I WARUNKI PŁATNOŚCI</w:t>
      </w:r>
    </w:p>
    <w:p w:rsidR="00C76770" w:rsidRPr="00CB3B08" w:rsidRDefault="00C76770" w:rsidP="00C76770">
      <w:pPr>
        <w:pStyle w:val="NormalnyWeb"/>
        <w:spacing w:before="0" w:beforeAutospacing="0" w:after="0" w:afterAutospacing="0"/>
        <w:rPr>
          <w:rFonts w:ascii="Titillium Web" w:hAnsi="Titillium Web" w:cstheme="minorHAnsi"/>
          <w:color w:val="0D0D0D" w:themeColor="text1" w:themeTint="F2"/>
        </w:rPr>
      </w:pPr>
      <w:r w:rsidRPr="00CB3B08">
        <w:rPr>
          <w:rFonts w:ascii="Titillium Web" w:hAnsi="Titillium Web" w:cstheme="minorHAnsi"/>
          <w:color w:val="0D0D0D" w:themeColor="text1" w:themeTint="F2"/>
        </w:rPr>
        <w:t> </w:t>
      </w:r>
    </w:p>
    <w:p w:rsidR="00C76770" w:rsidRPr="00CB3B08" w:rsidRDefault="00C76770" w:rsidP="00C76770">
      <w:pPr>
        <w:numPr>
          <w:ilvl w:val="0"/>
          <w:numId w:val="25"/>
        </w:numPr>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Sprzedaż towarów lub przeniesienie na Nabywcę własności towarów na podstawie, innej niż sprzedaż umowy handlowej, jak również świadczenie na rzecz Nabywcy usług następuje po cenach wskazanych w cenniku obowiązującym w chwili składania przez Nabywcę określonego zamówienia lub po cenach wskazanych w przyjętej przez Nabywcę indywidualnej ofercie handlowej. Zarówno ceny wskazane w cenniku jak i ceny wskazane ofercie są cenami netto i ulegają podwyższeniu o obowiązujący podatek od towarów i usług (VAT) bądź o inne zastępujące go albo dodatkowo obok niego wprowadzone obowiązkowe podatki, chyba, że na gruncie obowiązujących przepisów prawa określona transakcja handlowa pomiędzy Sprzedającym, a Nabywcą nie podlega opodatkowaniu takim podatkiem. Ustalenie ceny niższej niż wynikająca z cennika obowiązującego w chwili składania przez Nabywcę określonego zamówienia lub niższej niż wynikająca z przyjętej przez Nabywcę indywidualnej oferty wymaga pisemnego porozumienia stron zawartego za pośrednictwem poczty elektronicznej lub w inny uzgodniony przez strony sposób pod rygorem uznania za wiążące wyłącznie cen wskazanych w cenniku lub w ofercie.</w:t>
      </w:r>
    </w:p>
    <w:p w:rsidR="00C76770" w:rsidRPr="00CB3B08" w:rsidRDefault="00C76770" w:rsidP="00C76770">
      <w:pPr>
        <w:ind w:left="284"/>
        <w:jc w:val="both"/>
        <w:rPr>
          <w:rFonts w:ascii="Titillium Web" w:hAnsi="Titillium Web" w:cstheme="minorHAnsi"/>
          <w:color w:val="0D0D0D" w:themeColor="text1" w:themeTint="F2"/>
        </w:rPr>
      </w:pPr>
    </w:p>
    <w:p w:rsidR="00C76770" w:rsidRPr="00CB3B08" w:rsidRDefault="00C76770" w:rsidP="00C76770">
      <w:pPr>
        <w:numPr>
          <w:ilvl w:val="0"/>
          <w:numId w:val="25"/>
        </w:numPr>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O ile strony nie ustalą odrębnie inaczej, jednostkowe ceny netto towarów obowiązują dla towarów w standardowym opakowaniu jednorazowym stosowanym przez Sprzedającego. </w:t>
      </w:r>
      <w:r w:rsidRPr="00CB3B08">
        <w:rPr>
          <w:rFonts w:ascii="Titillium Web" w:hAnsi="Titillium Web" w:cstheme="minorHAnsi"/>
          <w:color w:val="0D0D0D" w:themeColor="text1" w:themeTint="F2"/>
        </w:rPr>
        <w:br/>
      </w:r>
    </w:p>
    <w:p w:rsidR="00C76770" w:rsidRPr="00CB3B08" w:rsidRDefault="00C76770" w:rsidP="00C76770">
      <w:pPr>
        <w:numPr>
          <w:ilvl w:val="0"/>
          <w:numId w:val="25"/>
        </w:numPr>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Płatność za towary lub usługi objęte określonym zamówieniem Nabywcy powinna być przez niego dokonana przelewem na rachunek bankowy Sprzedającego każdorazowo wskazany na fakturze VAT skojarzonej z tym zamówieniem, w nieprzekraczalnym terminie oznaczonym na fakturze, przy czym termin płatności liczony jest od daty wystawienia faktury przez Sprzedającego. Za datę dokonania przez Nabywcę zapłaty za zamówione towary lub usługi uznawana będzie data wpływu środków pieniężnych na rachunek bankowy Sprzedającego wskazany na danej fakturze VAT.</w:t>
      </w:r>
    </w:p>
    <w:p w:rsidR="00C76770" w:rsidRPr="00CB3B08" w:rsidRDefault="00C76770" w:rsidP="00C76770">
      <w:pPr>
        <w:numPr>
          <w:ilvl w:val="0"/>
          <w:numId w:val="25"/>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 odniesieniu do Nabywców mających siedzibę na terenie Rzeczypospolitej Polskiej faktury wystawiane są w walucie polskiej – tj. w złotych polskich (PLN) lub w innej uzgodnionej przez strony walucie na podstawie odrębnego zawartego pomiędzy nimi w tej kwestii porozumienia.</w:t>
      </w:r>
    </w:p>
    <w:p w:rsidR="00C76770" w:rsidRPr="00CB3B08" w:rsidRDefault="00C76770" w:rsidP="00C76770">
      <w:pPr>
        <w:numPr>
          <w:ilvl w:val="0"/>
          <w:numId w:val="25"/>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Płatność wynikająca z określonej faktury VAT będzie zawsze przez Nabywcę dokonywana w walucie wskazanej w tej fakturze. Nabywca po</w:t>
      </w:r>
      <w:r w:rsidR="00CB4376" w:rsidRPr="00CB3B08">
        <w:rPr>
          <w:rFonts w:ascii="Titillium Web" w:hAnsi="Titillium Web" w:cstheme="minorHAnsi"/>
          <w:color w:val="0D0D0D" w:themeColor="text1" w:themeTint="F2"/>
        </w:rPr>
        <w:t>nosi wszelkie koszty związane z </w:t>
      </w:r>
      <w:r w:rsidRPr="00CB3B08">
        <w:rPr>
          <w:rFonts w:ascii="Titillium Web" w:hAnsi="Titillium Web" w:cstheme="minorHAnsi"/>
          <w:color w:val="0D0D0D" w:themeColor="text1" w:themeTint="F2"/>
        </w:rPr>
        <w:t>rozliczeniami pieniężnymi z tytułu dokonywanych u Sprzedającego zakupów towarów lub usług, w tym w szczególności koszty wynikające z opłat bankowych pobieranych przez bank Sprzedającego za otrzymane przelewy walut z innych banków.</w:t>
      </w:r>
    </w:p>
    <w:p w:rsidR="00C76770" w:rsidRPr="00CB3B08" w:rsidRDefault="00C76770" w:rsidP="00C76770">
      <w:pPr>
        <w:numPr>
          <w:ilvl w:val="0"/>
          <w:numId w:val="25"/>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O ile strony nie ustalą odrębnie inaczej zapłata za towary lub usługi objęte określonym zamówieniem Nabywcy realizowana jest bez potrąceń i kompensat wzajemnych roszczeń, </w:t>
      </w:r>
      <w:r w:rsidRPr="00CB3B08">
        <w:rPr>
          <w:rFonts w:ascii="Titillium Web" w:hAnsi="Titillium Web" w:cstheme="minorHAnsi"/>
          <w:color w:val="0D0D0D" w:themeColor="text1" w:themeTint="F2"/>
        </w:rPr>
        <w:lastRenderedPageBreak/>
        <w:t>a wniesienie przez Nabywcę reklamacji dotyczącej ilości lub jakości zamówionych towarów lub usług, jak również ewentualna odmowa Nabywcy w przedmiocie odebrania towarów lub usług nie zwalnia go z obowiązku terminowej zapłaty za dostarczone towary lub usługi.</w:t>
      </w:r>
    </w:p>
    <w:p w:rsidR="00C76770" w:rsidRPr="00CB3B08" w:rsidRDefault="00C76770" w:rsidP="00C76770">
      <w:pPr>
        <w:numPr>
          <w:ilvl w:val="0"/>
          <w:numId w:val="25"/>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 razie skorzystania przez Sprzedającego z uprawnień określonych w punkcie 5 powyżej, Nabywcy nie będą przysługiwały względem Sprzedającego jakiekolwiek roszczenia z tytułu szkód powstałych wskutek skorzystania przez Sprzedającego z tych uprawnień.</w:t>
      </w:r>
    </w:p>
    <w:p w:rsidR="00C76770" w:rsidRPr="00CB3B08" w:rsidRDefault="00C76770" w:rsidP="00C76770">
      <w:pPr>
        <w:pStyle w:val="Akapitzlist"/>
        <w:numPr>
          <w:ilvl w:val="0"/>
          <w:numId w:val="25"/>
        </w:numPr>
        <w:spacing w:line="240" w:lineRule="auto"/>
        <w:ind w:left="284" w:hanging="284"/>
        <w:jc w:val="both"/>
        <w:rPr>
          <w:rFonts w:ascii="Titillium Web" w:hAnsi="Titillium Web" w:cstheme="minorHAnsi"/>
          <w:color w:val="0D0D0D" w:themeColor="text1" w:themeTint="F2"/>
          <w:sz w:val="24"/>
        </w:rPr>
      </w:pPr>
      <w:r w:rsidRPr="00CB3B08">
        <w:rPr>
          <w:rFonts w:ascii="Titillium Web" w:hAnsi="Titillium Web" w:cstheme="minorHAnsi"/>
          <w:color w:val="0D0D0D" w:themeColor="text1" w:themeTint="F2"/>
          <w:sz w:val="24"/>
        </w:rPr>
        <w:t>W przypadku opóźnienia Nabywcy w uregulowaniu płat</w:t>
      </w:r>
      <w:r w:rsidR="00CB4376" w:rsidRPr="00CB3B08">
        <w:rPr>
          <w:rFonts w:ascii="Titillium Web" w:hAnsi="Titillium Web" w:cstheme="minorHAnsi"/>
          <w:color w:val="0D0D0D" w:themeColor="text1" w:themeTint="F2"/>
          <w:sz w:val="24"/>
        </w:rPr>
        <w:t>ności należnych Sprzedającemu w </w:t>
      </w:r>
      <w:r w:rsidRPr="00CB3B08">
        <w:rPr>
          <w:rFonts w:ascii="Titillium Web" w:hAnsi="Titillium Web" w:cstheme="minorHAnsi"/>
          <w:color w:val="0D0D0D" w:themeColor="text1" w:themeTint="F2"/>
          <w:sz w:val="24"/>
        </w:rPr>
        <w:t>ramach określonego zamówienia w stosunku do terminu wskazanego na stosownej fakturze VAT lub w stosunku do terminu uzgodnionego odrębnie przez strony, Sprzedający uprawniony będzie do jednostronnego wydłużenia terminu wszystkich kolejnych dostaw towarów lub usług w ramach poszczególnych zamówień w stosunku do terminów wskazanych w potwierdzonych przez Sprzedającego zamówieniach Nabywcy lub do wstrzymania realizacji dalszych dostaw do Nabywcy towarów lub usług a wszystkie należne mu od Nabywcy płatności staną się natychmiastowo wymagalne bez względu na um</w:t>
      </w:r>
      <w:r w:rsidR="00E2174E" w:rsidRPr="00CB3B08">
        <w:rPr>
          <w:rFonts w:ascii="Titillium Web" w:hAnsi="Titillium Web" w:cstheme="minorHAnsi"/>
          <w:color w:val="0D0D0D" w:themeColor="text1" w:themeTint="F2"/>
          <w:sz w:val="24"/>
        </w:rPr>
        <w:t>ówiony uprzednio termin zapłaty, chyba, że strony uzgodnią</w:t>
      </w:r>
      <w:r w:rsidR="00C54F4B" w:rsidRPr="00CB3B08">
        <w:rPr>
          <w:rFonts w:ascii="Titillium Web" w:hAnsi="Titillium Web" w:cstheme="minorHAnsi"/>
          <w:color w:val="0D0D0D" w:themeColor="text1" w:themeTint="F2"/>
          <w:sz w:val="24"/>
        </w:rPr>
        <w:t xml:space="preserve"> inaczej.</w:t>
      </w:r>
      <w:r w:rsidRPr="00CB3B08">
        <w:rPr>
          <w:rFonts w:ascii="Titillium Web" w:hAnsi="Titillium Web" w:cstheme="minorHAnsi"/>
          <w:color w:val="0D0D0D" w:themeColor="text1" w:themeTint="F2"/>
          <w:sz w:val="24"/>
        </w:rPr>
        <w:t xml:space="preserve"> Wydłużenie przez Sprzedającego terminów dostaw towarów lub usług w tym trybie skutkuje wyłączeniem po stronie Nabywcy wszelkich roszczeń odszkodowawczych i innych roszczeń wobec Sprzedającego wynikających z takiego wydłużenia term</w:t>
      </w:r>
      <w:r w:rsidR="0014249C">
        <w:rPr>
          <w:rFonts w:ascii="Titillium Web" w:hAnsi="Titillium Web" w:cstheme="minorHAnsi"/>
          <w:color w:val="0D0D0D" w:themeColor="text1" w:themeTint="F2"/>
          <w:sz w:val="24"/>
        </w:rPr>
        <w:t>inów dostaw towarów lub usług w </w:t>
      </w:r>
      <w:bookmarkStart w:id="0" w:name="_GoBack"/>
      <w:bookmarkEnd w:id="0"/>
      <w:r w:rsidRPr="00CB3B08">
        <w:rPr>
          <w:rFonts w:ascii="Titillium Web" w:hAnsi="Titillium Web" w:cstheme="minorHAnsi"/>
          <w:color w:val="0D0D0D" w:themeColor="text1" w:themeTint="F2"/>
          <w:sz w:val="24"/>
        </w:rPr>
        <w:t>ramach każdego kolejnego zamówienia Nabywcy.</w:t>
      </w:r>
    </w:p>
    <w:p w:rsidR="00C76770" w:rsidRPr="00CB3B08" w:rsidRDefault="00C76770" w:rsidP="00C76770">
      <w:pPr>
        <w:numPr>
          <w:ilvl w:val="0"/>
          <w:numId w:val="25"/>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Z datą dokonania przez Nabywcę zapłaty zaległej należności z tytułu dostaw towarów lub usług objętych określonym zamówieniem Sprzedający uprawniony będzie do wznowienia dostaw towarów lub usług wyłącznie na warunkach i w terminach jednostronnie przez niego określonych.</w:t>
      </w:r>
    </w:p>
    <w:p w:rsidR="00C76770" w:rsidRPr="00CB3B08" w:rsidRDefault="00C76770" w:rsidP="00C76770">
      <w:pPr>
        <w:numPr>
          <w:ilvl w:val="0"/>
          <w:numId w:val="25"/>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 przypadku istnienia uzasadnionej wątpliwości co do terminowego wywiązania się Nabywcy z obowiązku zapłaty za zamówione towary lub usługi, Sprzedający uprawniony będzie do zażądania od Nabywcy uiszczenia całej ceny sprzedaży towarów lub usług przed dostarczeniem mu tych towarów lub przed wykonaniem określonych usług niezależnie od terminu płatności wskazanego wcześniej w potwierdzonym przez Sprzedającego zamówieniu Nabywcy.</w:t>
      </w:r>
    </w:p>
    <w:p w:rsidR="00C76770" w:rsidRPr="00CB3B08" w:rsidRDefault="00C76770" w:rsidP="00D41E38">
      <w:pPr>
        <w:numPr>
          <w:ilvl w:val="0"/>
          <w:numId w:val="25"/>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 przypadku opóźnienia Nabywcy w uregulowaniu płatności należnych Sprzedającemu w ramach określonego zamówienia dłuższego niż 30 dni w stosunku do terminu wskazanego na stosownej fakturze VAT lub w stosunku do terminu uzgodnionego odrębnie przez strony, Sprzedający uprawniony będzie do odstąpienia od umowy handlowej w trybie natychmiastowym bez ponoszenia z tego tytułu względem Nabywcy jakiejkolwiek odpowiedzialności odszkodowawczej. </w:t>
      </w:r>
    </w:p>
    <w:p w:rsidR="004F466C" w:rsidRPr="00CB3B08" w:rsidRDefault="004F466C" w:rsidP="00C76770">
      <w:pPr>
        <w:jc w:val="both"/>
        <w:rPr>
          <w:rFonts w:ascii="Titillium Web" w:hAnsi="Titillium Web" w:cstheme="minorHAnsi"/>
          <w:b/>
          <w:bCs/>
          <w:color w:val="0D0D0D" w:themeColor="text1" w:themeTint="F2"/>
        </w:rPr>
      </w:pPr>
    </w:p>
    <w:p w:rsidR="004F466C" w:rsidRPr="00CB3B08" w:rsidRDefault="004F466C" w:rsidP="00C76770">
      <w:pPr>
        <w:jc w:val="both"/>
        <w:rPr>
          <w:rFonts w:ascii="Titillium Web" w:hAnsi="Titillium Web" w:cstheme="minorHAnsi"/>
          <w:b/>
          <w:bCs/>
          <w:color w:val="0D0D0D" w:themeColor="text1" w:themeTint="F2"/>
        </w:rPr>
      </w:pPr>
    </w:p>
    <w:p w:rsidR="00C76770" w:rsidRPr="00CB3B08" w:rsidRDefault="00C76770" w:rsidP="00C76770">
      <w:pPr>
        <w:jc w:val="both"/>
        <w:rPr>
          <w:rFonts w:ascii="Titillium Web" w:hAnsi="Titillium Web" w:cstheme="minorHAnsi"/>
          <w:color w:val="0D0D0D" w:themeColor="text1" w:themeTint="F2"/>
        </w:rPr>
      </w:pPr>
      <w:r w:rsidRPr="00CB3B08">
        <w:rPr>
          <w:rFonts w:ascii="Titillium Web" w:hAnsi="Titillium Web" w:cstheme="minorHAnsi"/>
          <w:b/>
          <w:bCs/>
          <w:color w:val="0D0D0D" w:themeColor="text1" w:themeTint="F2"/>
        </w:rPr>
        <w:lastRenderedPageBreak/>
        <w:t>III. WARUNKI DOSTAW</w:t>
      </w:r>
    </w:p>
    <w:p w:rsidR="00C76770" w:rsidRPr="00CB3B08" w:rsidRDefault="00C76770" w:rsidP="00C76770">
      <w:pPr>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w:t>
      </w:r>
    </w:p>
    <w:p w:rsidR="00C76770" w:rsidRPr="00CB3B08" w:rsidRDefault="00C76770" w:rsidP="00CB3B08">
      <w:pPr>
        <w:pStyle w:val="Akapitzlist"/>
        <w:numPr>
          <w:ilvl w:val="0"/>
          <w:numId w:val="15"/>
        </w:numPr>
        <w:tabs>
          <w:tab w:val="clear" w:pos="720"/>
          <w:tab w:val="num" w:pos="284"/>
        </w:tabs>
        <w:spacing w:before="150" w:after="150"/>
        <w:ind w:left="284" w:hanging="284"/>
        <w:jc w:val="both"/>
        <w:rPr>
          <w:rFonts w:ascii="Titillium Web" w:hAnsi="Titillium Web" w:cstheme="minorHAnsi"/>
          <w:color w:val="0D0D0D" w:themeColor="text1" w:themeTint="F2"/>
          <w:sz w:val="24"/>
        </w:rPr>
      </w:pPr>
      <w:r w:rsidRPr="00CB3B08">
        <w:rPr>
          <w:rFonts w:ascii="Titillium Web" w:hAnsi="Titillium Web" w:cstheme="minorHAnsi"/>
          <w:color w:val="0D0D0D" w:themeColor="text1" w:themeTint="F2"/>
          <w:sz w:val="24"/>
        </w:rPr>
        <w:t>O ile strony nie ustalą odrębnie inaczej dostawy towarów do Nabywcy realizowane będą na bazie formuły EX WORKS wg. INCOTERMS 2010 z magazynu Sp</w:t>
      </w:r>
      <w:r w:rsidR="00AC5F03" w:rsidRPr="00CB3B08">
        <w:rPr>
          <w:rFonts w:ascii="Titillium Web" w:hAnsi="Titillium Web" w:cstheme="minorHAnsi"/>
          <w:color w:val="0D0D0D" w:themeColor="text1" w:themeTint="F2"/>
          <w:sz w:val="24"/>
        </w:rPr>
        <w:t>rzedającego lub magazynu poddostawcy.</w:t>
      </w:r>
      <w:r w:rsidRPr="00CB3B08">
        <w:rPr>
          <w:rFonts w:ascii="Titillium Web" w:hAnsi="Titillium Web" w:cstheme="minorHAnsi"/>
          <w:color w:val="0D0D0D" w:themeColor="text1" w:themeTint="F2"/>
          <w:sz w:val="24"/>
        </w:rPr>
        <w:t xml:space="preserve"> </w:t>
      </w:r>
    </w:p>
    <w:p w:rsidR="00C76770" w:rsidRPr="00CB3B08" w:rsidRDefault="00C76770" w:rsidP="00CB3B08">
      <w:pPr>
        <w:numPr>
          <w:ilvl w:val="0"/>
          <w:numId w:val="15"/>
        </w:numPr>
        <w:spacing w:before="150" w:after="150"/>
        <w:ind w:left="300" w:hanging="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Sprzedający jest uprawniony do zrealizowania dostawy towarów lub usług będących przedmiotem określonej umowy handlowej przed terminem wskazanym w potwierdzonym przez Sprzedającego zamówieniu Nabywcy odnoszącym się do tych towarów lub usług, chyba, że strony odrębnie ustalą inaczej.</w:t>
      </w:r>
    </w:p>
    <w:p w:rsidR="003845EA" w:rsidRPr="00CB3B08" w:rsidRDefault="003845EA" w:rsidP="003845EA">
      <w:pPr>
        <w:spacing w:before="150" w:after="150"/>
        <w:ind w:left="300"/>
        <w:jc w:val="both"/>
        <w:rPr>
          <w:rFonts w:ascii="Titillium Web" w:hAnsi="Titillium Web" w:cstheme="minorHAnsi"/>
          <w:color w:val="0D0D0D" w:themeColor="text1" w:themeTint="F2"/>
        </w:rPr>
      </w:pPr>
    </w:p>
    <w:p w:rsidR="00C76770" w:rsidRPr="00CB3B08" w:rsidRDefault="00C76770" w:rsidP="003845EA">
      <w:pPr>
        <w:pStyle w:val="NormalnyWeb"/>
        <w:spacing w:before="0" w:beforeAutospacing="0" w:after="0" w:afterAutospacing="0"/>
        <w:jc w:val="both"/>
        <w:rPr>
          <w:rFonts w:ascii="Titillium Web" w:hAnsi="Titillium Web" w:cstheme="minorHAnsi"/>
          <w:color w:val="0D0D0D" w:themeColor="text1" w:themeTint="F2"/>
        </w:rPr>
      </w:pPr>
      <w:r w:rsidRPr="00CB3B08">
        <w:rPr>
          <w:rFonts w:ascii="Titillium Web" w:hAnsi="Titillium Web" w:cstheme="minorHAnsi"/>
          <w:b/>
          <w:bCs/>
          <w:color w:val="0D0D0D" w:themeColor="text1" w:themeTint="F2"/>
        </w:rPr>
        <w:t>IV. ZASTRZEŻENIE PRAWA WŁASNOŚCI I OBOWIĄZKU POUFNOŚCI W ZAKRESIE UZYSKANYCH INFORMACJI</w:t>
      </w:r>
    </w:p>
    <w:p w:rsidR="00C76770" w:rsidRPr="00CB3B08" w:rsidRDefault="00C76770" w:rsidP="00C76770">
      <w:pPr>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w:t>
      </w:r>
    </w:p>
    <w:p w:rsidR="00C76770" w:rsidRPr="00CB3B08" w:rsidRDefault="00C76770" w:rsidP="00C76770">
      <w:pPr>
        <w:numPr>
          <w:ilvl w:val="0"/>
          <w:numId w:val="26"/>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Sprzedający zastrzega, że na mocy zawartych umów handlowych nie przenosi na Nabywcę jakichkolwiek praw własności intelektualnej, w tym praw autorskich i pokrewnych oraz praw przysługujących Sprzedającemu zgodnie z ustawą z dnia 30.06.2000r. - Prawo własności przemysłowej, ani też nie udziela Nabywcy jakiejkolwiek licencji, w tym licencji do użytkowania znaków towarowych Sprzedającego, chyba, że strony odrębnie ustaliły inaczej. </w:t>
      </w:r>
    </w:p>
    <w:p w:rsidR="00C76770" w:rsidRPr="00CB3B08" w:rsidRDefault="00C76770" w:rsidP="00C76770">
      <w:pPr>
        <w:numPr>
          <w:ilvl w:val="0"/>
          <w:numId w:val="26"/>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Nabywca nie nabywa też prawa własności ani jakiegokolwiek innego prawa do urządzeń i narzędzi wykorzystywanych przez Sprzedającego do produkcji oferowanych towarów lub świadczenia oferowanych usług nawet w przypadku gdy Nabywca pokrył koszt tych urządzeń lub narzędzi.</w:t>
      </w:r>
    </w:p>
    <w:p w:rsidR="00C76770" w:rsidRPr="00CB3B08" w:rsidRDefault="00C76770" w:rsidP="00C76770">
      <w:pPr>
        <w:pStyle w:val="Akapitzlist"/>
        <w:numPr>
          <w:ilvl w:val="0"/>
          <w:numId w:val="26"/>
        </w:numPr>
        <w:spacing w:before="150" w:after="150" w:line="240" w:lineRule="auto"/>
        <w:ind w:left="284" w:hanging="284"/>
        <w:jc w:val="both"/>
        <w:rPr>
          <w:rFonts w:ascii="Titillium Web" w:hAnsi="Titillium Web" w:cstheme="minorHAnsi"/>
          <w:color w:val="0D0D0D" w:themeColor="text1" w:themeTint="F2"/>
          <w:sz w:val="24"/>
        </w:rPr>
      </w:pPr>
      <w:r w:rsidRPr="00CB3B08">
        <w:rPr>
          <w:rFonts w:ascii="Titillium Web" w:hAnsi="Titillium Web" w:cstheme="minorHAnsi"/>
          <w:color w:val="0D0D0D" w:themeColor="text1" w:themeTint="F2"/>
          <w:sz w:val="24"/>
        </w:rPr>
        <w:t>Nabywcy, w związku z zawartą umową handlową, nie przysługują jakiekolwiek uprawnienia do przeprowadzenia audytów w przedsiębiorstwie Sprzedającego oraz do weryfikacji jakiejkolwiek jego dokumentacji, jak też do przeprowadzenia audytów w przedsiębiorstwach poddostawców czy podwykonawców Sprzedającego i weryfikacji ich dokumentacji, chyba, że strony odrębnie ustaliły inaczej.</w:t>
      </w:r>
    </w:p>
    <w:p w:rsidR="00C76770" w:rsidRPr="00CB3B08" w:rsidRDefault="00C76770" w:rsidP="00C76770">
      <w:pPr>
        <w:numPr>
          <w:ilvl w:val="0"/>
          <w:numId w:val="26"/>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Nabywca zobowiązany jest do zachowania w ścisłej tajemnicy i nie ujawniania jakimkolwiek osobom trzecim wszelkich informacji jakie uzyskał od Sprzedającego w związku z zawarciem z nim umowy handlowej.</w:t>
      </w:r>
    </w:p>
    <w:p w:rsidR="00C76770" w:rsidRPr="00CB3B08" w:rsidRDefault="00C76770" w:rsidP="00C76770">
      <w:pPr>
        <w:pStyle w:val="NormalnyWeb"/>
        <w:spacing w:before="0" w:beforeAutospacing="0" w:after="0" w:afterAutospacing="0"/>
        <w:rPr>
          <w:rFonts w:ascii="Titillium Web" w:hAnsi="Titillium Web" w:cstheme="minorHAnsi"/>
          <w:color w:val="0D0D0D" w:themeColor="text1" w:themeTint="F2"/>
        </w:rPr>
      </w:pPr>
      <w:r w:rsidRPr="00CB3B08">
        <w:rPr>
          <w:rFonts w:ascii="Titillium Web" w:hAnsi="Titillium Web" w:cstheme="minorHAnsi"/>
          <w:color w:val="0D0D0D" w:themeColor="text1" w:themeTint="F2"/>
        </w:rPr>
        <w:t> </w:t>
      </w:r>
    </w:p>
    <w:p w:rsidR="00C76770" w:rsidRPr="00CB3B08" w:rsidRDefault="00C76770" w:rsidP="00C76770">
      <w:pPr>
        <w:jc w:val="both"/>
        <w:rPr>
          <w:rFonts w:ascii="Titillium Web" w:hAnsi="Titillium Web" w:cstheme="minorHAnsi"/>
          <w:color w:val="0D0D0D" w:themeColor="text1" w:themeTint="F2"/>
        </w:rPr>
      </w:pPr>
      <w:r w:rsidRPr="00CB3B08">
        <w:rPr>
          <w:rFonts w:ascii="Titillium Web" w:hAnsi="Titillium Web" w:cstheme="minorHAnsi"/>
          <w:b/>
          <w:bCs/>
          <w:color w:val="0D0D0D" w:themeColor="text1" w:themeTint="F2"/>
        </w:rPr>
        <w:t>V. ODPOWIEDZIALNOŚĆ ZA WADY TOWARÓW I USŁUG, POSTĘPOWANIE REKLAMACYJNE.</w:t>
      </w:r>
    </w:p>
    <w:p w:rsidR="00C76770" w:rsidRPr="00CB3B08" w:rsidRDefault="00C76770" w:rsidP="00C76770">
      <w:pPr>
        <w:pStyle w:val="NormalnyWeb"/>
        <w:spacing w:before="0" w:beforeAutospacing="0" w:after="0" w:afterAutospacing="0"/>
        <w:rPr>
          <w:rFonts w:ascii="Titillium Web" w:hAnsi="Titillium Web" w:cstheme="minorHAnsi"/>
          <w:color w:val="0D0D0D" w:themeColor="text1" w:themeTint="F2"/>
        </w:rPr>
      </w:pPr>
      <w:r w:rsidRPr="00CB3B08">
        <w:rPr>
          <w:rFonts w:ascii="Titillium Web" w:hAnsi="Titillium Web" w:cstheme="minorHAnsi"/>
          <w:color w:val="0D0D0D" w:themeColor="text1" w:themeTint="F2"/>
        </w:rPr>
        <w:t> </w:t>
      </w:r>
    </w:p>
    <w:p w:rsidR="00C76770" w:rsidRPr="00CB3B08" w:rsidRDefault="00C76770" w:rsidP="00C76770">
      <w:pPr>
        <w:numPr>
          <w:ilvl w:val="0"/>
          <w:numId w:val="16"/>
        </w:numPr>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Wszelkie informacje i dane techniczne dotyczące oferowanych przez Sprzedającego towarów lub usług, wynikające z katalogów, prospektów, ulotek i innych materiałów reklamowo-</w:t>
      </w:r>
      <w:r w:rsidRPr="00CB3B08">
        <w:rPr>
          <w:rFonts w:ascii="Titillium Web" w:hAnsi="Titillium Web" w:cstheme="minorHAnsi"/>
          <w:color w:val="0D0D0D" w:themeColor="text1" w:themeTint="F2"/>
        </w:rPr>
        <w:lastRenderedPageBreak/>
        <w:t>marketingowych bądź przekazane Nabywcy w inny sposób są wyłącznie informacjami orientacyjnymi, wobec czego Sprzedający nie ponosi odpowiedzialności za błędną lub niewłaściwą interpretację tych informacji przez Nabywcę ani za dokonaną przez Nabywcę ocenę przydatności oferowanych towarów i usług do zamierzonego przez niego celu. Sprzedający nie ponosi też jakiejkolwiek odpowiedzialności za użycie nabytych towarów lub usług niezgodnie ze wskazaniami bądź instrukcjami Sprzedającego.</w:t>
      </w:r>
    </w:p>
    <w:p w:rsidR="00C76770" w:rsidRPr="00CB3B08" w:rsidRDefault="00C76770" w:rsidP="00C76770">
      <w:pPr>
        <w:ind w:left="300"/>
        <w:jc w:val="both"/>
        <w:rPr>
          <w:rFonts w:ascii="Titillium Web" w:hAnsi="Titillium Web" w:cstheme="minorHAnsi"/>
          <w:color w:val="0D0D0D" w:themeColor="text1" w:themeTint="F2"/>
        </w:rPr>
      </w:pPr>
    </w:p>
    <w:p w:rsidR="00C76770" w:rsidRPr="00CB3B08" w:rsidRDefault="00C76770" w:rsidP="00C76770">
      <w:pPr>
        <w:numPr>
          <w:ilvl w:val="0"/>
          <w:numId w:val="17"/>
        </w:numPr>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Sprzedający wyłącza jakąkolwiek odpowiedzialność, w tym odpowiedzialność odszkodowawczą, za skutki użycia przez Nabywcę towar</w:t>
      </w:r>
      <w:r w:rsidR="00CB4376" w:rsidRPr="00CB3B08">
        <w:rPr>
          <w:rFonts w:ascii="Titillium Web" w:hAnsi="Titillium Web" w:cstheme="minorHAnsi"/>
          <w:color w:val="0D0D0D" w:themeColor="text1" w:themeTint="F2"/>
        </w:rPr>
        <w:t>ów dostarczonych mu wyłącznie w </w:t>
      </w:r>
      <w:r w:rsidRPr="00CB3B08">
        <w:rPr>
          <w:rFonts w:ascii="Titillium Web" w:hAnsi="Titillium Web" w:cstheme="minorHAnsi"/>
          <w:color w:val="0D0D0D" w:themeColor="text1" w:themeTint="F2"/>
        </w:rPr>
        <w:t xml:space="preserve">celu przeprowadzenia ich prób, testów, analiz surowcowych, analiz porównawczych, itp. czynności. </w:t>
      </w:r>
    </w:p>
    <w:p w:rsidR="00C76770" w:rsidRPr="00CB3B08" w:rsidRDefault="00C76770" w:rsidP="00C76770">
      <w:pPr>
        <w:ind w:left="300"/>
        <w:jc w:val="both"/>
        <w:rPr>
          <w:rFonts w:ascii="Titillium Web" w:hAnsi="Titillium Web" w:cstheme="minorHAnsi"/>
          <w:color w:val="0D0D0D" w:themeColor="text1" w:themeTint="F2"/>
        </w:rPr>
      </w:pPr>
    </w:p>
    <w:p w:rsidR="00C76770" w:rsidRPr="00CB3B08" w:rsidRDefault="00C76770" w:rsidP="00C76770">
      <w:pPr>
        <w:numPr>
          <w:ilvl w:val="0"/>
          <w:numId w:val="18"/>
        </w:numPr>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Nabywca zobowiązany jest do potwierdzania odbioru towarów lub usług oraz do starannego zbadania ich co do stanu ilościowego niezwłocznie po odebraniu określonych towarów lub usług.</w:t>
      </w:r>
      <w:r w:rsidRPr="00CB3B08">
        <w:rPr>
          <w:rFonts w:ascii="Titillium Web" w:hAnsi="Titillium Web" w:cstheme="minorHAnsi"/>
          <w:color w:val="0D0D0D" w:themeColor="text1" w:themeTint="F2"/>
        </w:rPr>
        <w:br/>
      </w:r>
    </w:p>
    <w:p w:rsidR="00C76770" w:rsidRPr="00CB3B08" w:rsidRDefault="00C76770" w:rsidP="00C76770">
      <w:pPr>
        <w:numPr>
          <w:ilvl w:val="0"/>
          <w:numId w:val="19"/>
        </w:numPr>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Jeżeli Nabywca po zbadaniu towarów lub usług stwierdzi w ich zakresie niezgodności ilościowe, zobowiązany jest do niezwłocznego, nie później jednak niż terminie 2 dni roboczych od daty dokonania odbioru określonych towarów lub usług, pisemnego poinformowania o tym Sprzedającego, za pośrednictwem </w:t>
      </w:r>
      <w:r w:rsidR="005559B2" w:rsidRPr="00CB3B08">
        <w:rPr>
          <w:rFonts w:ascii="Titillium Web" w:hAnsi="Titillium Web" w:cstheme="minorHAnsi"/>
          <w:color w:val="0D0D0D" w:themeColor="text1" w:themeTint="F2"/>
        </w:rPr>
        <w:t xml:space="preserve">poczty elektronicznej </w:t>
      </w:r>
      <w:r w:rsidRPr="00CB3B08">
        <w:rPr>
          <w:rFonts w:ascii="Titillium Web" w:hAnsi="Titillium Web" w:cstheme="minorHAnsi"/>
          <w:color w:val="0D0D0D" w:themeColor="text1" w:themeTint="F2"/>
        </w:rPr>
        <w:t>w celu uzgodnieni</w:t>
      </w:r>
      <w:r w:rsidR="003845EA" w:rsidRPr="00CB3B08">
        <w:rPr>
          <w:rFonts w:ascii="Titillium Web" w:hAnsi="Titillium Web" w:cstheme="minorHAnsi"/>
          <w:color w:val="0D0D0D" w:themeColor="text1" w:themeTint="F2"/>
        </w:rPr>
        <w:t>a dalszego toku postępowania, z </w:t>
      </w:r>
      <w:r w:rsidRPr="00CB3B08">
        <w:rPr>
          <w:rFonts w:ascii="Titillium Web" w:hAnsi="Titillium Web" w:cstheme="minorHAnsi"/>
          <w:color w:val="0D0D0D" w:themeColor="text1" w:themeTint="F2"/>
        </w:rPr>
        <w:t xml:space="preserve">zastrzeżeniem, że Sprzedający będzie miał 3 dni robocze od otrzymania pisemnej reklamacji ilościowej Nabywcy na ustosunkowanie się do jej treści. </w:t>
      </w:r>
    </w:p>
    <w:p w:rsidR="00C76770" w:rsidRPr="00CB3B08" w:rsidRDefault="00C76770" w:rsidP="00C76770">
      <w:pPr>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Odpowiedzialność Sprzedającego z tytułu rękojmi, przy uznanych reklamacjach ilościowych, towarów lub usług ogranicza się do:</w:t>
      </w:r>
    </w:p>
    <w:p w:rsidR="00C76770" w:rsidRPr="00CB3B08" w:rsidRDefault="00C76770" w:rsidP="00C76770">
      <w:pPr>
        <w:ind w:left="300"/>
        <w:jc w:val="both"/>
        <w:rPr>
          <w:rFonts w:ascii="Titillium Web" w:hAnsi="Titillium Web" w:cstheme="minorHAnsi"/>
          <w:color w:val="0D0D0D" w:themeColor="text1" w:themeTint="F2"/>
        </w:rPr>
      </w:pPr>
    </w:p>
    <w:p w:rsidR="00C76770" w:rsidRPr="00CB3B08" w:rsidRDefault="00C76770" w:rsidP="00C76770">
      <w:pPr>
        <w:numPr>
          <w:ilvl w:val="0"/>
          <w:numId w:val="20"/>
        </w:numPr>
        <w:ind w:left="709" w:hanging="425"/>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dostarczenia brakującej ilości towarów lub usług w uzgodnionym przez strony terminie albo obniżenia ceny sprzedaży towarów bądź usług o wartość brakujących towarów lub usług i wystawienia w związku z tym Nabywcy odpow</w:t>
      </w:r>
      <w:r w:rsidR="00CB4376" w:rsidRPr="00CB3B08">
        <w:rPr>
          <w:rFonts w:ascii="Titillium Web" w:hAnsi="Titillium Web" w:cstheme="minorHAnsi"/>
          <w:color w:val="0D0D0D" w:themeColor="text1" w:themeTint="F2"/>
        </w:rPr>
        <w:t>iedniej faktury korygującej – w </w:t>
      </w:r>
      <w:r w:rsidRPr="00CB3B08">
        <w:rPr>
          <w:rFonts w:ascii="Titillium Web" w:hAnsi="Titillium Web" w:cstheme="minorHAnsi"/>
          <w:color w:val="0D0D0D" w:themeColor="text1" w:themeTint="F2"/>
        </w:rPr>
        <w:t>przypadku gdy ilość dostarczonych towarów lub usług będzie mniejsza niż wymagana,</w:t>
      </w:r>
    </w:p>
    <w:p w:rsidR="00C76770" w:rsidRPr="00CB3B08" w:rsidRDefault="00C76770" w:rsidP="00C76770">
      <w:pPr>
        <w:ind w:left="709" w:hanging="425"/>
        <w:jc w:val="both"/>
        <w:rPr>
          <w:rFonts w:ascii="Titillium Web" w:hAnsi="Titillium Web" w:cstheme="minorHAnsi"/>
          <w:color w:val="0D0D0D" w:themeColor="text1" w:themeTint="F2"/>
        </w:rPr>
      </w:pPr>
    </w:p>
    <w:p w:rsidR="00C76770" w:rsidRPr="00CB3B08" w:rsidRDefault="00C76770" w:rsidP="00C76770">
      <w:pPr>
        <w:numPr>
          <w:ilvl w:val="0"/>
          <w:numId w:val="20"/>
        </w:numPr>
        <w:ind w:left="709" w:hanging="425"/>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odbioru od Nabywcy nadwyżki towarów lub usług w terminie 7 dni roboczych od daty uznania reklamacji – w przypadku gdy ilość dostarczonych towarów lub usług będzie większa niż wymagana.</w:t>
      </w:r>
    </w:p>
    <w:p w:rsidR="00C76770" w:rsidRPr="00CB3B08" w:rsidRDefault="00C76770" w:rsidP="00C76770">
      <w:pPr>
        <w:pStyle w:val="Akapitzlist"/>
        <w:rPr>
          <w:rFonts w:ascii="Titillium Web" w:hAnsi="Titillium Web" w:cstheme="minorHAnsi"/>
          <w:color w:val="0D0D0D" w:themeColor="text1" w:themeTint="F2"/>
        </w:rPr>
      </w:pPr>
    </w:p>
    <w:p w:rsidR="00C76770" w:rsidRPr="00CB3B08" w:rsidRDefault="00C76770" w:rsidP="00C76770">
      <w:pPr>
        <w:numPr>
          <w:ilvl w:val="0"/>
          <w:numId w:val="21"/>
        </w:numPr>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Nabywca zobowiązany jest do niezwłocznego pisemnego poinformowania Sprzedającego o wykrytych wadach jakościowych dostarczonych towarów lub usług, nie później jednak niż w ciągu 12 miesięcy od daty odebrania określonych towarów lub usług. Do zachowania powyższego terminu wystarczające jest wysłanie, za pośrednictwem poczty elektronicznej </w:t>
      </w:r>
      <w:r w:rsidRPr="00CB3B08">
        <w:rPr>
          <w:rFonts w:ascii="Titillium Web" w:hAnsi="Titillium Web" w:cstheme="minorHAnsi"/>
          <w:color w:val="0D0D0D" w:themeColor="text1" w:themeTint="F2"/>
        </w:rPr>
        <w:lastRenderedPageBreak/>
        <w:t>lub poprzez wysłanie listu poleconego, zawiadomienia o wykrytych wadach jakościowych oraz dostarczenie wadliwych towarów przed upływem tego terminu. Sprzedający będzie miał 14 dni roboczych od otrzyma</w:t>
      </w:r>
      <w:r w:rsidR="003845EA" w:rsidRPr="00CB3B08">
        <w:rPr>
          <w:rFonts w:ascii="Titillium Web" w:hAnsi="Titillium Web" w:cstheme="minorHAnsi"/>
          <w:color w:val="0D0D0D" w:themeColor="text1" w:themeTint="F2"/>
        </w:rPr>
        <w:t>nia reklamowanego towaru wraz z </w:t>
      </w:r>
      <w:r w:rsidRPr="00CB3B08">
        <w:rPr>
          <w:rFonts w:ascii="Titillium Web" w:hAnsi="Titillium Web" w:cstheme="minorHAnsi"/>
          <w:color w:val="0D0D0D" w:themeColor="text1" w:themeTint="F2"/>
        </w:rPr>
        <w:t>pisemną reklamacją jakościową Nabywcy na ustosunkowanie się do treści zgłoszonej reklamacji. W przypadku konieczności przeprowadzenia dodatkowych badań/testów/</w:t>
      </w:r>
      <w:r w:rsidR="00CB4376" w:rsidRPr="00CB3B08">
        <w:rPr>
          <w:rFonts w:ascii="Titillium Web" w:hAnsi="Titillium Web" w:cstheme="minorHAnsi"/>
          <w:color w:val="0D0D0D" w:themeColor="text1" w:themeTint="F2"/>
        </w:rPr>
        <w:t xml:space="preserve"> </w:t>
      </w:r>
      <w:r w:rsidRPr="00CB3B08">
        <w:rPr>
          <w:rFonts w:ascii="Titillium Web" w:hAnsi="Titillium Web" w:cstheme="minorHAnsi"/>
          <w:color w:val="0D0D0D" w:themeColor="text1" w:themeTint="F2"/>
        </w:rPr>
        <w:t>ekspertyz zewnętrznych, termin rozpatrywania reklamacji podlega indywidualnemu ustaleniu z Nabywcą. Odpowiedzialność Sprzedającego z  tytułu rękojmi, przy uznanych reklamacjach jakościowych, towarów lub usług ogranicza się, w  zależności od wyboru dokonanego przez Sprzedającego, do:</w:t>
      </w:r>
    </w:p>
    <w:p w:rsidR="00C76770" w:rsidRPr="00CB3B08" w:rsidRDefault="00C76770" w:rsidP="00C76770">
      <w:pPr>
        <w:numPr>
          <w:ilvl w:val="0"/>
          <w:numId w:val="22"/>
        </w:numPr>
        <w:spacing w:before="150" w:after="150"/>
        <w:ind w:left="709" w:hanging="425"/>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usunięcia stwierdzonych wad towarów lub usług w terminie 14 dni roboczych od daty uznania reklamacji lub</w:t>
      </w:r>
    </w:p>
    <w:p w:rsidR="00C76770" w:rsidRPr="00CB3B08" w:rsidRDefault="00C76770" w:rsidP="00C76770">
      <w:pPr>
        <w:numPr>
          <w:ilvl w:val="0"/>
          <w:numId w:val="22"/>
        </w:numPr>
        <w:spacing w:before="150" w:after="150"/>
        <w:ind w:left="709" w:hanging="425"/>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wymiany wadliwych towarów lub usług na wolne od wad w terminie 14 dni roboczych od daty uznania reklamacji lub</w:t>
      </w:r>
    </w:p>
    <w:p w:rsidR="00C76770" w:rsidRPr="00CB3B08" w:rsidRDefault="00C76770" w:rsidP="00C76770">
      <w:pPr>
        <w:numPr>
          <w:ilvl w:val="0"/>
          <w:numId w:val="22"/>
        </w:numPr>
        <w:spacing w:before="150" w:after="150"/>
        <w:ind w:left="709" w:hanging="425"/>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obniżenia ceny sprzedaży towarów bądź usług o wartość wadliwych towarów lub usług i wystawienia w związku z tym Nabywcy odpowiedniej faktury korygującej.</w:t>
      </w:r>
    </w:p>
    <w:p w:rsidR="00C76770" w:rsidRPr="00CB3B08" w:rsidRDefault="00C76770" w:rsidP="00C76770">
      <w:pPr>
        <w:numPr>
          <w:ilvl w:val="0"/>
          <w:numId w:val="23"/>
        </w:numPr>
        <w:spacing w:before="150" w:after="150"/>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Zarówno w odniesieniu do wad ilościowych dostarczonych Nabywcy towarów lub usług jak i w odniesieniu do ich wad jakościowych wyłączone zostaje prawo Nabywcy do odstąpienia od określonej umowy handlowej przysługujące mu na gruncie przepisów polskiego Kodeksu Cywilnego regulujących uprawnienia z tytułu rękojmi za wady fizyczne rzeczy sprzedanej, chyba, że strony odrębnie ustaliły inaczej.</w:t>
      </w:r>
    </w:p>
    <w:p w:rsidR="00C76770" w:rsidRPr="00CB3B08" w:rsidRDefault="00C76770" w:rsidP="00C76770">
      <w:pPr>
        <w:numPr>
          <w:ilvl w:val="0"/>
          <w:numId w:val="24"/>
        </w:numPr>
        <w:spacing w:before="150" w:after="150"/>
        <w:ind w:left="300"/>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Szczegółowe zasady składania i rozpatrywania reklamacji Nabywcy, obowiązujące w przedsiębiorstwie Sprzedającego regulują „Ogólne Zasady dot. Reklamacji”.</w:t>
      </w:r>
    </w:p>
    <w:p w:rsidR="00C76770" w:rsidRPr="00CB3B08" w:rsidRDefault="00C76770" w:rsidP="00C76770">
      <w:pPr>
        <w:pStyle w:val="NormalnyWeb"/>
        <w:spacing w:before="0" w:beforeAutospacing="0" w:after="0" w:afterAutospacing="0"/>
        <w:rPr>
          <w:rFonts w:ascii="Titillium Web" w:hAnsi="Titillium Web" w:cstheme="minorHAnsi"/>
          <w:color w:val="0D0D0D" w:themeColor="text1" w:themeTint="F2"/>
        </w:rPr>
      </w:pPr>
      <w:r w:rsidRPr="00CB3B08">
        <w:rPr>
          <w:rFonts w:ascii="Titillium Web" w:hAnsi="Titillium Web" w:cstheme="minorHAnsi"/>
          <w:color w:val="0D0D0D" w:themeColor="text1" w:themeTint="F2"/>
        </w:rPr>
        <w:t> </w:t>
      </w:r>
    </w:p>
    <w:p w:rsidR="00C76770" w:rsidRPr="00CB3B08" w:rsidRDefault="00C76770" w:rsidP="00C76770">
      <w:pPr>
        <w:jc w:val="both"/>
        <w:rPr>
          <w:rFonts w:ascii="Titillium Web" w:hAnsi="Titillium Web" w:cstheme="minorHAnsi"/>
          <w:color w:val="0D0D0D" w:themeColor="text1" w:themeTint="F2"/>
        </w:rPr>
      </w:pPr>
      <w:r w:rsidRPr="00CB3B08">
        <w:rPr>
          <w:rFonts w:ascii="Titillium Web" w:hAnsi="Titillium Web" w:cstheme="minorHAnsi"/>
          <w:b/>
          <w:bCs/>
          <w:color w:val="0D0D0D" w:themeColor="text1" w:themeTint="F2"/>
        </w:rPr>
        <w:t>VI. POSTANOWIENIA RÓŻNE</w:t>
      </w:r>
    </w:p>
    <w:p w:rsidR="00C76770" w:rsidRPr="00CB3B08" w:rsidRDefault="00C76770" w:rsidP="00C76770">
      <w:pPr>
        <w:numPr>
          <w:ilvl w:val="0"/>
          <w:numId w:val="27"/>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Wszelkie spory wynikłe na gruncie lub w związku z zawarciem pomiędzy Sprzedającym, a Nabywcą umowy handlowej rozstrzygane będą przez sąd powszechny miejscowo właściwy ze względu na siedzibę Sprzedającego, chyba, że strony odrębnie ustaliły inaczej.</w:t>
      </w:r>
    </w:p>
    <w:p w:rsidR="00C76770" w:rsidRPr="00CB3B08" w:rsidRDefault="00C76770" w:rsidP="00C76770">
      <w:pPr>
        <w:numPr>
          <w:ilvl w:val="0"/>
          <w:numId w:val="27"/>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Wszelkie spory wynikłe na gruncie lub w związku z z</w:t>
      </w:r>
      <w:r w:rsidR="001B68E5" w:rsidRPr="00CB3B08">
        <w:rPr>
          <w:rFonts w:ascii="Titillium Web" w:hAnsi="Titillium Web" w:cstheme="minorHAnsi"/>
          <w:color w:val="0D0D0D" w:themeColor="text1" w:themeTint="F2"/>
        </w:rPr>
        <w:t xml:space="preserve">awarciem pomiędzy Sprzedającym </w:t>
      </w:r>
      <w:r w:rsidRPr="00CB3B08">
        <w:rPr>
          <w:rFonts w:ascii="Titillium Web" w:hAnsi="Titillium Web" w:cstheme="minorHAnsi"/>
          <w:color w:val="0D0D0D" w:themeColor="text1" w:themeTint="F2"/>
        </w:rPr>
        <w:t>a Nabywcą umowy handlowej podlegają prawu polskiemu, z wyłączeniem możliwości stosowania postanowień Konwencji o umowach międzynarodowej sprzedaży towarów zawartej w dniu 11.04.1980r. w Wiedniu, chyba, że strony odrębnie ustaliły inaczej.</w:t>
      </w:r>
    </w:p>
    <w:p w:rsidR="00C76770" w:rsidRPr="00CB3B08" w:rsidRDefault="00C76770" w:rsidP="00C76770">
      <w:pPr>
        <w:numPr>
          <w:ilvl w:val="0"/>
          <w:numId w:val="27"/>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Z chwilą zawarcia pomiędzy Sprzedającym, a Nabywcą umowy handlowej wszelkie inne porozumienia dotyczące tego samego przedmiotu, istniejące uprzednio pomiędzy stronami, tak ustne jak i pisemne, tracą moc obowiązującą.</w:t>
      </w:r>
    </w:p>
    <w:p w:rsidR="00C76770" w:rsidRPr="00CB3B08" w:rsidRDefault="00C76770" w:rsidP="00C76770">
      <w:pPr>
        <w:numPr>
          <w:ilvl w:val="0"/>
          <w:numId w:val="27"/>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lastRenderedPageBreak/>
        <w:t>Nie dopuszcza się cesji przez Nabywcę jakichkolwiek praw wynikających z zawartej przez niego ze Sprzedającym umowy handlowej bez uprzedniej pisemnej zgody Sprzedającego.</w:t>
      </w:r>
    </w:p>
    <w:p w:rsidR="00C76770" w:rsidRPr="00CB3B08" w:rsidRDefault="00C76770" w:rsidP="00C76770">
      <w:pPr>
        <w:numPr>
          <w:ilvl w:val="0"/>
          <w:numId w:val="27"/>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 przypadku prawnej bezskuteczności poszczególnych punktów niniejszych Ogólnych Warunków Sprzedaży pozostałe postanowienia oraz realizowane na ich podstawie umowy handlowe zachowują moc obowiązującą, a w miejsce bezskutecznych postanowień Ogólnych Warunków Sprzedaży wejdą odpowiednie przepisy prawa, które możliwie najpełniej odzwierciedlały będą sens i cel tych postanowień.</w:t>
      </w:r>
    </w:p>
    <w:p w:rsidR="00C76770" w:rsidRPr="00CB3B08" w:rsidRDefault="00C76770" w:rsidP="00C76770">
      <w:pPr>
        <w:numPr>
          <w:ilvl w:val="0"/>
          <w:numId w:val="27"/>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Nabywca zawierając ze Sprzedającym umowę handlową wyraża zgodę na przetwarzanie przez Sprzedającego jego danych osobowych w celu realizacji zawartej umowy handlowej, chyba, że strony odrębnie ustaliły inaczej. Nabywcy w każdym przypadku przysługują wszelkie uprawnienia zgodnie z przepisami prawa w zakresie ochrony danych osobowych, w szczególności Rozporządzenia z dnia 27.04.2016 o ochronie danych osobowych</w:t>
      </w:r>
    </w:p>
    <w:p w:rsidR="00C76770" w:rsidRPr="00CB3B08" w:rsidRDefault="00C76770" w:rsidP="00C76770">
      <w:pPr>
        <w:numPr>
          <w:ilvl w:val="0"/>
          <w:numId w:val="27"/>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Wszelkie zmiany niniejszych Ogólnych Warunków Sprzedaży wymagają formy pisemnej pod rygorem nieważności.</w:t>
      </w:r>
    </w:p>
    <w:p w:rsidR="00AC5F03" w:rsidRPr="00CB3B08" w:rsidRDefault="00C76770" w:rsidP="00AC5F03">
      <w:pPr>
        <w:numPr>
          <w:ilvl w:val="0"/>
          <w:numId w:val="27"/>
        </w:numPr>
        <w:spacing w:before="150" w:after="150"/>
        <w:ind w:left="284" w:hanging="284"/>
        <w:jc w:val="both"/>
        <w:rPr>
          <w:rFonts w:ascii="Titillium Web" w:hAnsi="Titillium Web" w:cstheme="minorHAnsi"/>
          <w:color w:val="0D0D0D" w:themeColor="text1" w:themeTint="F2"/>
        </w:rPr>
      </w:pPr>
      <w:r w:rsidRPr="00CB3B08">
        <w:rPr>
          <w:rFonts w:ascii="Titillium Web" w:hAnsi="Titillium Web" w:cstheme="minorHAnsi"/>
          <w:color w:val="0D0D0D" w:themeColor="text1" w:themeTint="F2"/>
        </w:rPr>
        <w:t xml:space="preserve">Niniejsze Ogólne Warunki Sprzedaży zostały zatwierdzone w dniu </w:t>
      </w:r>
      <w:r w:rsidR="00AC5F03" w:rsidRPr="00CB3B08">
        <w:rPr>
          <w:rFonts w:ascii="Titillium Web" w:hAnsi="Titillium Web" w:cstheme="minorHAnsi"/>
          <w:color w:val="0D0D0D" w:themeColor="text1" w:themeTint="F2"/>
        </w:rPr>
        <w:t>26.02.2022</w:t>
      </w:r>
      <w:r w:rsidRPr="00CB3B08">
        <w:rPr>
          <w:rFonts w:ascii="Titillium Web" w:hAnsi="Titillium Web" w:cstheme="minorHAnsi"/>
          <w:color w:val="0D0D0D" w:themeColor="text1" w:themeTint="F2"/>
        </w:rPr>
        <w:t xml:space="preserve">r. przez </w:t>
      </w:r>
      <w:r w:rsidR="00FB6851" w:rsidRPr="00CB3B08">
        <w:rPr>
          <w:rFonts w:ascii="Titillium Web" w:hAnsi="Titillium Web" w:cstheme="minorHAnsi"/>
          <w:color w:val="0D0D0D" w:themeColor="text1" w:themeTint="F2"/>
        </w:rPr>
        <w:t>Marka Obłaza –</w:t>
      </w:r>
      <w:r w:rsidR="001053B9" w:rsidRPr="00CB3B08">
        <w:rPr>
          <w:rFonts w:ascii="Titillium Web" w:hAnsi="Titillium Web" w:cstheme="minorHAnsi"/>
          <w:color w:val="0D0D0D" w:themeColor="text1" w:themeTint="F2"/>
        </w:rPr>
        <w:t xml:space="preserve"> komplementariusza</w:t>
      </w:r>
      <w:r w:rsidR="00FB6851" w:rsidRPr="00CB3B08">
        <w:rPr>
          <w:rFonts w:ascii="Titillium Web" w:hAnsi="Titillium Web" w:cstheme="minorHAnsi"/>
          <w:color w:val="0D0D0D" w:themeColor="text1" w:themeTint="F2"/>
        </w:rPr>
        <w:t xml:space="preserve"> </w:t>
      </w:r>
      <w:r w:rsidR="00CB4376" w:rsidRPr="00CB3B08">
        <w:rPr>
          <w:rFonts w:ascii="Titillium Web" w:hAnsi="Titillium Web" w:cstheme="minorHAnsi"/>
          <w:color w:val="0D0D0D" w:themeColor="text1" w:themeTint="F2"/>
        </w:rPr>
        <w:t>ETISOFT KRAKÓW</w:t>
      </w:r>
      <w:r w:rsidRPr="00CB3B08">
        <w:rPr>
          <w:rFonts w:ascii="Titillium Web" w:hAnsi="Titillium Web" w:cstheme="minorHAnsi"/>
          <w:color w:val="0D0D0D" w:themeColor="text1" w:themeTint="F2"/>
        </w:rPr>
        <w:t xml:space="preserve"> Mar</w:t>
      </w:r>
      <w:r w:rsidR="00FB6851" w:rsidRPr="00CB3B08">
        <w:rPr>
          <w:rFonts w:ascii="Titillium Web" w:hAnsi="Titillium Web" w:cstheme="minorHAnsi"/>
          <w:color w:val="0D0D0D" w:themeColor="text1" w:themeTint="F2"/>
        </w:rPr>
        <w:t>ek</w:t>
      </w:r>
      <w:r w:rsidRPr="00CB3B08">
        <w:rPr>
          <w:rFonts w:ascii="Titillium Web" w:hAnsi="Titillium Web" w:cstheme="minorHAnsi"/>
          <w:color w:val="0D0D0D" w:themeColor="text1" w:themeTint="F2"/>
        </w:rPr>
        <w:t xml:space="preserve"> Obłaza</w:t>
      </w:r>
      <w:r w:rsidR="00FB6851" w:rsidRPr="00CB3B08">
        <w:rPr>
          <w:rFonts w:ascii="Titillium Web" w:hAnsi="Titillium Web" w:cstheme="minorHAnsi"/>
          <w:color w:val="0D0D0D" w:themeColor="text1" w:themeTint="F2"/>
        </w:rPr>
        <w:t xml:space="preserve"> sp.k.</w:t>
      </w:r>
      <w:r w:rsidR="00CB4376" w:rsidRPr="00CB3B08">
        <w:rPr>
          <w:rFonts w:ascii="Titillium Web" w:hAnsi="Titillium Web" w:cstheme="minorHAnsi"/>
          <w:color w:val="0D0D0D" w:themeColor="text1" w:themeTint="F2"/>
        </w:rPr>
        <w:t xml:space="preserve"> i wchodzą w </w:t>
      </w:r>
      <w:r w:rsidRPr="00CB3B08">
        <w:rPr>
          <w:rFonts w:ascii="Titillium Web" w:hAnsi="Titillium Web" w:cstheme="minorHAnsi"/>
          <w:color w:val="0D0D0D" w:themeColor="text1" w:themeTint="F2"/>
        </w:rPr>
        <w:t>życie z</w:t>
      </w:r>
      <w:r w:rsidR="001053B9" w:rsidRPr="00CB3B08">
        <w:rPr>
          <w:rFonts w:ascii="Titillium Web" w:hAnsi="Titillium Web" w:cstheme="minorHAnsi"/>
          <w:color w:val="0D0D0D" w:themeColor="text1" w:themeTint="F2"/>
        </w:rPr>
        <w:t> </w:t>
      </w:r>
      <w:r w:rsidRPr="00CB3B08">
        <w:rPr>
          <w:rFonts w:ascii="Titillium Web" w:hAnsi="Titillium Web" w:cstheme="minorHAnsi"/>
          <w:color w:val="0D0D0D" w:themeColor="text1" w:themeTint="F2"/>
        </w:rPr>
        <w:t>dniem 01.03.2022r.</w:t>
      </w:r>
      <w:r w:rsidR="00AC5F03" w:rsidRPr="00CB3B08">
        <w:rPr>
          <w:rFonts w:ascii="Titillium Web" w:hAnsi="Titillium Web" w:cstheme="minorHAnsi"/>
          <w:color w:val="0D0D0D" w:themeColor="text1" w:themeTint="F2"/>
        </w:rPr>
        <w:t xml:space="preserve"> </w:t>
      </w:r>
    </w:p>
    <w:sectPr w:rsidR="00AC5F03" w:rsidRPr="00CB3B08" w:rsidSect="004F466C">
      <w:headerReference w:type="default" r:id="rId12"/>
      <w:footerReference w:type="even" r:id="rId13"/>
      <w:footerReference w:type="default" r:id="rId14"/>
      <w:headerReference w:type="first" r:id="rId15"/>
      <w:footerReference w:type="first" r:id="rId16"/>
      <w:pgSz w:w="11906" w:h="16838"/>
      <w:pgMar w:top="851" w:right="1133" w:bottom="1276" w:left="1134"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D97" w:rsidRDefault="00AB2D97" w:rsidP="000B41B0">
      <w:r>
        <w:separator/>
      </w:r>
    </w:p>
  </w:endnote>
  <w:endnote w:type="continuationSeparator" w:id="0">
    <w:p w:rsidR="00AB2D97" w:rsidRDefault="00AB2D97" w:rsidP="000B4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tillium Web Light">
    <w:panose1 w:val="00000400000000000000"/>
    <w:charset w:val="EE"/>
    <w:family w:val="auto"/>
    <w:pitch w:val="variable"/>
    <w:sig w:usb0="00000007" w:usb1="00000001" w:usb2="00000000" w:usb3="00000000" w:csb0="00000093" w:csb1="00000000"/>
  </w:font>
  <w:font w:name="Titillium Web">
    <w:panose1 w:val="00000500000000000000"/>
    <w:charset w:val="EE"/>
    <w:family w:val="auto"/>
    <w:pitch w:val="variable"/>
    <w:sig w:usb0="00000007" w:usb1="00000001" w:usb2="00000000" w:usb3="00000000" w:csb0="00000093" w:csb1="00000000"/>
  </w:font>
  <w:font w:name="Raleway">
    <w:panose1 w:val="020B0503030101060003"/>
    <w:charset w:val="EE"/>
    <w:family w:val="swiss"/>
    <w:pitch w:val="variable"/>
    <w:sig w:usb0="A00002FF" w:usb1="5000205B" w:usb2="00000000" w:usb3="00000000" w:csb0="00000097"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8EA" w:rsidRDefault="003718EA" w:rsidP="003718EA">
    <w:pPr>
      <w:pStyle w:val="Stopka"/>
      <w:rPr>
        <w:sz w:val="16"/>
        <w:szCs w:val="16"/>
      </w:rPr>
    </w:pPr>
  </w:p>
  <w:p w:rsidR="003718EA" w:rsidRDefault="003718EA" w:rsidP="003718EA">
    <w:pPr>
      <w:pStyle w:val="Stopka"/>
      <w:rPr>
        <w:sz w:val="16"/>
        <w:szCs w:val="16"/>
      </w:rPr>
    </w:pPr>
  </w:p>
  <w:tbl>
    <w:tblPr>
      <w:tblStyle w:val="Tabela-Siatk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1773"/>
      <w:gridCol w:w="3118"/>
      <w:gridCol w:w="2410"/>
    </w:tblGrid>
    <w:tr w:rsidR="003718EA" w:rsidRPr="00FB391D" w:rsidTr="00E3756E">
      <w:trPr>
        <w:trHeight w:val="854"/>
      </w:trPr>
      <w:tc>
        <w:tcPr>
          <w:tcW w:w="2338" w:type="dxa"/>
          <w:tcBorders>
            <w:top w:val="single" w:sz="4" w:space="0" w:color="4F8FCC" w:themeColor="accent2"/>
          </w:tcBorders>
        </w:tcPr>
        <w:p w:rsidR="003718EA" w:rsidRPr="00777C9F" w:rsidRDefault="003718EA" w:rsidP="003718EA">
          <w:pPr>
            <w:pStyle w:val="stopka0"/>
            <w:framePr w:hSpace="0" w:wrap="auto" w:vAnchor="margin" w:hAnchor="text" w:yAlign="inline"/>
          </w:pPr>
        </w:p>
        <w:p w:rsidR="003718EA" w:rsidRPr="00777C9F" w:rsidRDefault="003718EA" w:rsidP="003718EA">
          <w:pPr>
            <w:pStyle w:val="stopka0"/>
            <w:framePr w:hSpace="0" w:wrap="auto" w:vAnchor="margin" w:hAnchor="text" w:yAlign="inline"/>
          </w:pPr>
          <w:r w:rsidRPr="00777C9F">
            <w:t xml:space="preserve">Etisoft </w:t>
          </w:r>
          <w:r>
            <w:t xml:space="preserve">Smart Solutions </w:t>
          </w:r>
          <w:r w:rsidRPr="00777C9F">
            <w:t>Sp. z o.o.</w:t>
          </w:r>
        </w:p>
      </w:tc>
      <w:tc>
        <w:tcPr>
          <w:tcW w:w="1773" w:type="dxa"/>
          <w:tcBorders>
            <w:top w:val="single" w:sz="4" w:space="0" w:color="4F8FCC" w:themeColor="accent2"/>
          </w:tcBorders>
        </w:tcPr>
        <w:p w:rsidR="003718EA" w:rsidRPr="00777C9F" w:rsidRDefault="003718EA" w:rsidP="003718EA">
          <w:pPr>
            <w:pStyle w:val="stopka0"/>
            <w:framePr w:hSpace="0" w:wrap="auto" w:vAnchor="margin" w:hAnchor="text" w:yAlign="inline"/>
          </w:pPr>
        </w:p>
        <w:p w:rsidR="003718EA" w:rsidRPr="00777C9F" w:rsidRDefault="003718EA" w:rsidP="003718EA">
          <w:pPr>
            <w:pStyle w:val="stopka0"/>
            <w:framePr w:hSpace="0" w:wrap="auto" w:vAnchor="margin" w:hAnchor="text" w:yAlign="inline"/>
          </w:pPr>
        </w:p>
      </w:tc>
      <w:tc>
        <w:tcPr>
          <w:tcW w:w="3118" w:type="dxa"/>
          <w:tcBorders>
            <w:top w:val="single" w:sz="4" w:space="0" w:color="4F8FCC" w:themeColor="accent2"/>
          </w:tcBorders>
        </w:tcPr>
        <w:p w:rsidR="003718EA" w:rsidRPr="00777C9F" w:rsidRDefault="003718EA" w:rsidP="003718EA">
          <w:pPr>
            <w:pStyle w:val="stopka0"/>
            <w:framePr w:hSpace="0" w:wrap="auto" w:vAnchor="margin" w:hAnchor="text" w:yAlign="inline"/>
          </w:pPr>
        </w:p>
        <w:p w:rsidR="003718EA" w:rsidRPr="00777C9F" w:rsidRDefault="003718EA" w:rsidP="003718EA">
          <w:pPr>
            <w:pStyle w:val="stopka0"/>
            <w:framePr w:hSpace="0" w:wrap="auto" w:vAnchor="margin" w:hAnchor="text" w:yAlign="inline"/>
          </w:pPr>
          <w:r w:rsidRPr="00C51D46">
            <w:t xml:space="preserve"> </w:t>
          </w:r>
        </w:p>
      </w:tc>
      <w:tc>
        <w:tcPr>
          <w:tcW w:w="2410" w:type="dxa"/>
          <w:tcBorders>
            <w:top w:val="single" w:sz="4" w:space="0" w:color="4F8FCC" w:themeColor="accent2"/>
          </w:tcBorders>
        </w:tcPr>
        <w:p w:rsidR="003718EA" w:rsidRPr="00777C9F" w:rsidRDefault="003718EA" w:rsidP="003718EA">
          <w:pPr>
            <w:pStyle w:val="stopka0"/>
            <w:framePr w:hSpace="0" w:wrap="auto" w:vAnchor="margin" w:hAnchor="text" w:yAlign="inline"/>
          </w:pPr>
        </w:p>
        <w:p w:rsidR="003718EA" w:rsidRPr="00777C9F" w:rsidRDefault="003718EA" w:rsidP="003718EA">
          <w:pPr>
            <w:pStyle w:val="stopka0"/>
            <w:framePr w:hSpace="0" w:wrap="auto" w:vAnchor="margin" w:hAnchor="text" w:yAlign="inline"/>
            <w:jc w:val="right"/>
          </w:pPr>
          <w:r>
            <w:t xml:space="preserve">STR. | PAGE </w:t>
          </w:r>
          <w:r>
            <w:fldChar w:fldCharType="begin"/>
          </w:r>
          <w:r>
            <w:instrText>PAGE   \* MERGEFORMAT</w:instrText>
          </w:r>
          <w:r>
            <w:fldChar w:fldCharType="separate"/>
          </w:r>
          <w:r>
            <w:t>1</w:t>
          </w:r>
          <w:r>
            <w:fldChar w:fldCharType="end"/>
          </w:r>
        </w:p>
      </w:tc>
    </w:tr>
  </w:tbl>
  <w:p w:rsidR="0068217C" w:rsidRPr="003718EA" w:rsidRDefault="0068217C" w:rsidP="003718EA">
    <w:pPr>
      <w:pStyle w:val="Stopka"/>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C1B" w:rsidRPr="00AF2ABA" w:rsidRDefault="00451C1B" w:rsidP="00451C1B">
    <w:pPr>
      <w:pStyle w:val="Stopka"/>
      <w:rPr>
        <w:sz w:val="16"/>
        <w:szCs w:val="16"/>
      </w:rPr>
    </w:pPr>
  </w:p>
  <w:p w:rsidR="00451C1B" w:rsidRPr="00AF2ABA" w:rsidRDefault="00451C1B" w:rsidP="00451C1B">
    <w:pPr>
      <w:pStyle w:val="Stopka"/>
      <w:rPr>
        <w:sz w:val="16"/>
        <w:szCs w:val="16"/>
      </w:rPr>
    </w:pPr>
  </w:p>
  <w:tbl>
    <w:tblPr>
      <w:tblStyle w:val="Tabela-Siatk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gridCol w:w="2410"/>
    </w:tblGrid>
    <w:tr w:rsidR="002F71AD" w:rsidRPr="00AF2ABA" w:rsidTr="009874D1">
      <w:trPr>
        <w:trHeight w:val="561"/>
      </w:trPr>
      <w:tc>
        <w:tcPr>
          <w:tcW w:w="7229" w:type="dxa"/>
          <w:tcBorders>
            <w:top w:val="single" w:sz="4" w:space="0" w:color="4F8FCC" w:themeColor="accent2"/>
          </w:tcBorders>
        </w:tcPr>
        <w:p w:rsidR="003845EA" w:rsidRPr="000E4893" w:rsidRDefault="003845EA" w:rsidP="00FE735D">
          <w:pPr>
            <w:pStyle w:val="stopka0"/>
            <w:framePr w:hSpace="0" w:wrap="auto" w:vAnchor="margin" w:hAnchor="text" w:yAlign="inline"/>
            <w:rPr>
              <w:rFonts w:ascii="Titillium Web Light" w:hAnsi="Titillium Web Light"/>
            </w:rPr>
          </w:pPr>
        </w:p>
        <w:p w:rsidR="002F71AD" w:rsidRPr="000E4893" w:rsidRDefault="00B80567" w:rsidP="00FE735D">
          <w:pPr>
            <w:pStyle w:val="stopka0"/>
            <w:framePr w:hSpace="0" w:wrap="auto" w:vAnchor="margin" w:hAnchor="text" w:yAlign="inline"/>
            <w:rPr>
              <w:rFonts w:ascii="Titillium Web Light" w:hAnsi="Titillium Web Light"/>
            </w:rPr>
          </w:pPr>
          <w:r w:rsidRPr="000E4893">
            <w:rPr>
              <w:rFonts w:ascii="Titillium Web Light" w:hAnsi="Titillium Web Light"/>
            </w:rPr>
            <w:t>ETISOFT KRAKÓW</w:t>
          </w:r>
          <w:r w:rsidR="00026B4A" w:rsidRPr="000E4893">
            <w:rPr>
              <w:rFonts w:ascii="Titillium Web Light" w:hAnsi="Titillium Web Light"/>
            </w:rPr>
            <w:t xml:space="preserve"> </w:t>
          </w:r>
        </w:p>
      </w:tc>
      <w:tc>
        <w:tcPr>
          <w:tcW w:w="2410" w:type="dxa"/>
          <w:tcBorders>
            <w:top w:val="single" w:sz="4" w:space="0" w:color="4F8FCC" w:themeColor="accent2"/>
          </w:tcBorders>
        </w:tcPr>
        <w:p w:rsidR="002F71AD" w:rsidRPr="000E4893" w:rsidRDefault="002F71AD" w:rsidP="003718EA">
          <w:pPr>
            <w:pStyle w:val="stopka0"/>
            <w:framePr w:hSpace="0" w:wrap="auto" w:vAnchor="margin" w:hAnchor="text" w:yAlign="inline"/>
            <w:jc w:val="right"/>
            <w:rPr>
              <w:rFonts w:ascii="Titillium Web Light" w:hAnsi="Titillium Web Light"/>
            </w:rPr>
          </w:pPr>
        </w:p>
        <w:p w:rsidR="002F71AD" w:rsidRPr="000E4893" w:rsidRDefault="002F71AD" w:rsidP="003718EA">
          <w:pPr>
            <w:pStyle w:val="stopka0"/>
            <w:framePr w:hSpace="0" w:wrap="auto" w:vAnchor="margin" w:hAnchor="text" w:yAlign="inline"/>
            <w:jc w:val="right"/>
            <w:rPr>
              <w:rFonts w:ascii="Titillium Web Light" w:hAnsi="Titillium Web Light"/>
            </w:rPr>
          </w:pPr>
          <w:r w:rsidRPr="000E4893">
            <w:rPr>
              <w:rFonts w:ascii="Titillium Web Light" w:hAnsi="Titillium Web Light"/>
            </w:rPr>
            <w:t xml:space="preserve">STR. | PAGE </w:t>
          </w:r>
          <w:r w:rsidRPr="000E4893">
            <w:rPr>
              <w:rFonts w:ascii="Titillium Web Light" w:hAnsi="Titillium Web Light"/>
            </w:rPr>
            <w:fldChar w:fldCharType="begin"/>
          </w:r>
          <w:r w:rsidRPr="000E4893">
            <w:rPr>
              <w:rFonts w:ascii="Titillium Web Light" w:hAnsi="Titillium Web Light"/>
            </w:rPr>
            <w:instrText>PAGE   \* MERGEFORMAT</w:instrText>
          </w:r>
          <w:r w:rsidRPr="000E4893">
            <w:rPr>
              <w:rFonts w:ascii="Titillium Web Light" w:hAnsi="Titillium Web Light"/>
            </w:rPr>
            <w:fldChar w:fldCharType="separate"/>
          </w:r>
          <w:r w:rsidR="0014249C">
            <w:rPr>
              <w:rFonts w:ascii="Titillium Web Light" w:hAnsi="Titillium Web Light"/>
              <w:noProof/>
            </w:rPr>
            <w:t>9</w:t>
          </w:r>
          <w:r w:rsidRPr="000E4893">
            <w:rPr>
              <w:rFonts w:ascii="Titillium Web Light" w:hAnsi="Titillium Web Light"/>
            </w:rPr>
            <w:fldChar w:fldCharType="end"/>
          </w:r>
        </w:p>
      </w:tc>
    </w:tr>
  </w:tbl>
  <w:p w:rsidR="00FB391D" w:rsidRPr="00AF2ABA" w:rsidRDefault="00FB391D" w:rsidP="00451C1B">
    <w:pPr>
      <w:pStyle w:val="Stopka"/>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04F" w:rsidRDefault="009335CA" w:rsidP="003718EA">
    <w:pPr>
      <w:pStyle w:val="Stopka"/>
      <w:rPr>
        <w:sz w:val="16"/>
        <w:szCs w:val="16"/>
      </w:rPr>
    </w:pPr>
    <w:r>
      <w:rPr>
        <w:noProof/>
      </w:rPr>
      <w:drawing>
        <wp:anchor distT="0" distB="0" distL="114300" distR="114300" simplePos="0" relativeHeight="251666432" behindDoc="1" locked="1" layoutInCell="1" allowOverlap="1" wp14:anchorId="5F899A13" wp14:editId="3CE8A9C3">
          <wp:simplePos x="0" y="0"/>
          <wp:positionH relativeFrom="column">
            <wp:posOffset>4538980</wp:posOffset>
          </wp:positionH>
          <wp:positionV relativeFrom="paragraph">
            <wp:posOffset>-1902015</wp:posOffset>
          </wp:positionV>
          <wp:extent cx="2160000" cy="2242800"/>
          <wp:effectExtent l="0" t="0" r="0" b="5715"/>
          <wp:wrapNone/>
          <wp:docPr id="14" name="Graf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svg="http://schemas.microsoft.com/office/drawing/2016/SVG/main" r:embed="rId2"/>
                      </a:ext>
                    </a:extLst>
                  </a:blip>
                  <a:stretch>
                    <a:fillRect/>
                  </a:stretch>
                </pic:blipFill>
                <pic:spPr>
                  <a:xfrm>
                    <a:off x="0" y="0"/>
                    <a:ext cx="2160000" cy="2242800"/>
                  </a:xfrm>
                  <a:prstGeom prst="rect">
                    <a:avLst/>
                  </a:prstGeom>
                </pic:spPr>
              </pic:pic>
            </a:graphicData>
          </a:graphic>
          <wp14:sizeRelH relativeFrom="page">
            <wp14:pctWidth>0</wp14:pctWidth>
          </wp14:sizeRelH>
          <wp14:sizeRelV relativeFrom="page">
            <wp14:pctHeight>0</wp14:pctHeight>
          </wp14:sizeRelV>
        </wp:anchor>
      </w:drawing>
    </w:r>
  </w:p>
  <w:p w:rsidR="003718EA" w:rsidRPr="00FA5CAD" w:rsidRDefault="003718EA" w:rsidP="003718EA">
    <w:pPr>
      <w:pStyle w:val="Stopka"/>
      <w:rPr>
        <w:sz w:val="16"/>
        <w:szCs w:val="16"/>
      </w:rPr>
    </w:pPr>
  </w:p>
  <w:tbl>
    <w:tblPr>
      <w:tblStyle w:val="Tabela-Siatka"/>
      <w:tblpPr w:leftFromText="141" w:rightFromText="141" w:vertAnchor="text" w:horzAnchor="margin" w:tblpY="25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842"/>
      <w:gridCol w:w="3402"/>
    </w:tblGrid>
    <w:tr w:rsidR="0026704F" w:rsidRPr="00777C9F" w:rsidTr="009F3726">
      <w:trPr>
        <w:trHeight w:val="854"/>
      </w:trPr>
      <w:tc>
        <w:tcPr>
          <w:tcW w:w="2127" w:type="dxa"/>
        </w:tcPr>
        <w:p w:rsidR="0026704F" w:rsidRPr="000E4893" w:rsidRDefault="0026704F" w:rsidP="0026704F">
          <w:pPr>
            <w:pStyle w:val="stopka0"/>
            <w:framePr w:hSpace="0" w:wrap="auto" w:vAnchor="margin" w:hAnchor="text" w:yAlign="inline"/>
            <w:rPr>
              <w:rFonts w:ascii="Titillium Web Light" w:hAnsi="Titillium Web Light"/>
              <w:color w:val="2F4D83" w:themeColor="accent1"/>
            </w:rPr>
          </w:pPr>
        </w:p>
        <w:p w:rsidR="0026704F" w:rsidRPr="000E4893" w:rsidRDefault="0026704F" w:rsidP="0026704F">
          <w:pPr>
            <w:pStyle w:val="stopka0"/>
            <w:framePr w:hSpace="0" w:wrap="auto" w:vAnchor="margin" w:hAnchor="text" w:yAlign="inline"/>
            <w:rPr>
              <w:rFonts w:ascii="Titillium Web Light" w:hAnsi="Titillium Web Light"/>
              <w:color w:val="2F4D83" w:themeColor="accent1"/>
            </w:rPr>
          </w:pPr>
          <w:r w:rsidRPr="000E4893">
            <w:rPr>
              <w:rFonts w:ascii="Titillium Web Light" w:hAnsi="Titillium Web Light"/>
              <w:color w:val="2F4D83" w:themeColor="accent1"/>
            </w:rPr>
            <w:t xml:space="preserve">Etisoft </w:t>
          </w:r>
          <w:r w:rsidR="00026B4A" w:rsidRPr="000E4893">
            <w:rPr>
              <w:rFonts w:ascii="Titillium Web Light" w:hAnsi="Titillium Web Light"/>
              <w:color w:val="2F4D83" w:themeColor="accent1"/>
            </w:rPr>
            <w:t xml:space="preserve">Kraków </w:t>
          </w:r>
        </w:p>
        <w:p w:rsidR="0026704F" w:rsidRPr="000E4893" w:rsidRDefault="00FE735D" w:rsidP="0026704F">
          <w:pPr>
            <w:pStyle w:val="stopka0"/>
            <w:framePr w:hSpace="0" w:wrap="auto" w:vAnchor="margin" w:hAnchor="text" w:yAlign="inline"/>
            <w:rPr>
              <w:rFonts w:ascii="Titillium Web Light" w:hAnsi="Titillium Web Light"/>
              <w:color w:val="2F4D83" w:themeColor="accent1"/>
            </w:rPr>
          </w:pPr>
          <w:proofErr w:type="spellStart"/>
          <w:r w:rsidRPr="000E4893">
            <w:rPr>
              <w:rFonts w:ascii="Titillium Web Light" w:hAnsi="Titillium Web Light"/>
              <w:color w:val="2F4D83" w:themeColor="accent1"/>
            </w:rPr>
            <w:t>Rydlówka</w:t>
          </w:r>
          <w:proofErr w:type="spellEnd"/>
          <w:r w:rsidRPr="000E4893">
            <w:rPr>
              <w:rFonts w:ascii="Titillium Web Light" w:hAnsi="Titillium Web Light"/>
              <w:color w:val="2F4D83" w:themeColor="accent1"/>
            </w:rPr>
            <w:t xml:space="preserve"> 20, 30-363 Kraków</w:t>
          </w:r>
        </w:p>
        <w:p w:rsidR="0026704F" w:rsidRPr="000E4893" w:rsidRDefault="0026704F" w:rsidP="0026704F">
          <w:pPr>
            <w:pStyle w:val="stopka0"/>
            <w:framePr w:hSpace="0" w:wrap="auto" w:vAnchor="margin" w:hAnchor="text" w:yAlign="inline"/>
            <w:rPr>
              <w:rFonts w:ascii="Titillium Web Light" w:hAnsi="Titillium Web Light"/>
              <w:color w:val="2F4D83" w:themeColor="accent1"/>
            </w:rPr>
          </w:pPr>
          <w:r w:rsidRPr="000E4893">
            <w:rPr>
              <w:rFonts w:ascii="Titillium Web Light" w:hAnsi="Titillium Web Light"/>
              <w:color w:val="2F4D83" w:themeColor="accent1"/>
            </w:rPr>
            <w:t>POLAND</w:t>
          </w:r>
        </w:p>
      </w:tc>
      <w:tc>
        <w:tcPr>
          <w:tcW w:w="1842" w:type="dxa"/>
        </w:tcPr>
        <w:p w:rsidR="0026704F" w:rsidRPr="000E4893" w:rsidRDefault="0026704F" w:rsidP="0026704F">
          <w:pPr>
            <w:pStyle w:val="stopka0"/>
            <w:framePr w:hSpace="0" w:wrap="auto" w:vAnchor="margin" w:hAnchor="text" w:yAlign="inline"/>
            <w:rPr>
              <w:rFonts w:ascii="Titillium Web Light" w:hAnsi="Titillium Web Light"/>
              <w:color w:val="2F4D83" w:themeColor="accent1"/>
            </w:rPr>
          </w:pPr>
        </w:p>
        <w:p w:rsidR="0026704F" w:rsidRPr="000E4893" w:rsidRDefault="0026704F" w:rsidP="0026704F">
          <w:pPr>
            <w:pStyle w:val="stopka0"/>
            <w:framePr w:hSpace="0" w:wrap="auto" w:vAnchor="margin" w:hAnchor="text" w:yAlign="inline"/>
            <w:rPr>
              <w:rFonts w:ascii="Titillium Web Light" w:hAnsi="Titillium Web Light"/>
              <w:color w:val="2F4D83" w:themeColor="accent1"/>
            </w:rPr>
          </w:pPr>
          <w:r w:rsidRPr="000E4893">
            <w:rPr>
              <w:rFonts w:ascii="Titillium Web Light" w:hAnsi="Titillium Web Light"/>
              <w:color w:val="2F4D83" w:themeColor="accent1"/>
            </w:rPr>
            <w:t xml:space="preserve">+48 </w:t>
          </w:r>
          <w:r w:rsidR="00FE735D" w:rsidRPr="000E4893">
            <w:rPr>
              <w:rFonts w:ascii="Titillium Web Light" w:hAnsi="Titillium Web Light"/>
              <w:color w:val="2F4D83" w:themeColor="accent1"/>
            </w:rPr>
            <w:t>12 263 77 51</w:t>
          </w:r>
        </w:p>
        <w:p w:rsidR="0026704F" w:rsidRPr="000E4893" w:rsidRDefault="00AB2D97" w:rsidP="0026704F">
          <w:pPr>
            <w:pStyle w:val="stopka0"/>
            <w:framePr w:hSpace="0" w:wrap="auto" w:vAnchor="margin" w:hAnchor="text" w:yAlign="inline"/>
            <w:rPr>
              <w:rFonts w:ascii="Titillium Web Light" w:hAnsi="Titillium Web Light"/>
              <w:color w:val="2F4D83" w:themeColor="accent1"/>
            </w:rPr>
          </w:pPr>
          <w:hyperlink r:id="rId3" w:history="1">
            <w:r w:rsidR="00FE735D" w:rsidRPr="000E4893">
              <w:rPr>
                <w:rStyle w:val="Hipercze"/>
                <w:rFonts w:ascii="Titillium Web Light" w:hAnsi="Titillium Web Light"/>
                <w:color w:val="2F4D83" w:themeColor="accent1"/>
                <w:u w:val="none"/>
              </w:rPr>
              <w:t>krakow</w:t>
            </w:r>
            <w:r w:rsidR="0026704F" w:rsidRPr="000E4893">
              <w:rPr>
                <w:rStyle w:val="Hipercze"/>
                <w:rFonts w:ascii="Titillium Web Light" w:hAnsi="Titillium Web Light"/>
                <w:color w:val="2F4D83" w:themeColor="accent1"/>
                <w:u w:val="none"/>
              </w:rPr>
              <w:t>@etisoft.com.pl</w:t>
            </w:r>
          </w:hyperlink>
        </w:p>
        <w:p w:rsidR="0026704F" w:rsidRPr="000E4893" w:rsidRDefault="00FE735D" w:rsidP="0026704F">
          <w:pPr>
            <w:pStyle w:val="stopka0"/>
            <w:framePr w:hSpace="0" w:wrap="auto" w:vAnchor="margin" w:hAnchor="text" w:yAlign="inline"/>
            <w:rPr>
              <w:rFonts w:ascii="Titillium Web Light" w:hAnsi="Titillium Web Light"/>
              <w:color w:val="2F4D83" w:themeColor="accent1"/>
            </w:rPr>
          </w:pPr>
          <w:r w:rsidRPr="000E4893">
            <w:rPr>
              <w:rFonts w:ascii="Titillium Web Light" w:hAnsi="Titillium Web Light"/>
              <w:color w:val="2F4D83" w:themeColor="accent1"/>
            </w:rPr>
            <w:t>www.</w:t>
          </w:r>
          <w:r w:rsidR="0026704F" w:rsidRPr="000E4893">
            <w:rPr>
              <w:rFonts w:ascii="Titillium Web Light" w:hAnsi="Titillium Web Light"/>
              <w:color w:val="2F4D83" w:themeColor="accent1"/>
            </w:rPr>
            <w:t>etisoft.com.pl</w:t>
          </w:r>
        </w:p>
      </w:tc>
      <w:tc>
        <w:tcPr>
          <w:tcW w:w="3402" w:type="dxa"/>
        </w:tcPr>
        <w:p w:rsidR="0026704F" w:rsidRPr="000E4893" w:rsidRDefault="0026704F" w:rsidP="0026704F">
          <w:pPr>
            <w:pStyle w:val="stopka0"/>
            <w:framePr w:hSpace="0" w:wrap="auto" w:vAnchor="margin" w:hAnchor="text" w:yAlign="inline"/>
            <w:rPr>
              <w:rFonts w:ascii="Titillium Web Light" w:hAnsi="Titillium Web Light"/>
              <w:color w:val="2F4D83" w:themeColor="accent1"/>
            </w:rPr>
          </w:pPr>
          <w:r w:rsidRPr="000E4893">
            <w:rPr>
              <w:rFonts w:ascii="Titillium Web Light" w:hAnsi="Titillium Web Light"/>
              <w:noProof/>
              <w:color w:val="2F4D83" w:themeColor="accent1"/>
            </w:rPr>
            <mc:AlternateContent>
              <mc:Choice Requires="wps">
                <w:drawing>
                  <wp:anchor distT="0" distB="0" distL="114300" distR="114300" simplePos="0" relativeHeight="251664384" behindDoc="0" locked="0" layoutInCell="1" allowOverlap="1" wp14:anchorId="44C57608" wp14:editId="664DE2BA">
                    <wp:simplePos x="0" y="0"/>
                    <wp:positionH relativeFrom="column">
                      <wp:posOffset>-2578100</wp:posOffset>
                    </wp:positionH>
                    <wp:positionV relativeFrom="paragraph">
                      <wp:posOffset>6350</wp:posOffset>
                    </wp:positionV>
                    <wp:extent cx="3780000" cy="0"/>
                    <wp:effectExtent l="0" t="0" r="0" b="0"/>
                    <wp:wrapNone/>
                    <wp:docPr id="13" name="Łącznik prosty 13"/>
                    <wp:cNvGraphicFramePr/>
                    <a:graphic xmlns:a="http://schemas.openxmlformats.org/drawingml/2006/main">
                      <a:graphicData uri="http://schemas.microsoft.com/office/word/2010/wordprocessingShape">
                        <wps:wsp>
                          <wps:cNvCnPr/>
                          <wps:spPr>
                            <a:xfrm>
                              <a:off x="0" y="0"/>
                              <a:ext cx="378000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Łącznik prosty 1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3pt,.5pt" to="94.6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" strokecolor="#4f8fcc [3205]" strokeweight=".5pt">
                    <v:stroke joinstyle="miter"/>
                  </v:line>
                </w:pict>
              </mc:Fallback>
            </mc:AlternateContent>
          </w:r>
        </w:p>
        <w:p w:rsidR="0026704F" w:rsidRPr="000E4893" w:rsidRDefault="0026704F" w:rsidP="0026704F">
          <w:pPr>
            <w:pStyle w:val="stopka0"/>
            <w:framePr w:hSpace="0" w:wrap="auto" w:vAnchor="margin" w:hAnchor="text" w:yAlign="inline"/>
            <w:rPr>
              <w:rFonts w:ascii="Titillium Web Light" w:hAnsi="Titillium Web Light"/>
              <w:color w:val="2F4D83" w:themeColor="accent1"/>
            </w:rPr>
          </w:pPr>
          <w:r w:rsidRPr="000E4893">
            <w:rPr>
              <w:rFonts w:ascii="Titillium Web Light" w:hAnsi="Titillium Web Light"/>
              <w:color w:val="2F4D83" w:themeColor="accent1"/>
            </w:rPr>
            <w:t xml:space="preserve">NIP: </w:t>
          </w:r>
          <w:r w:rsidR="00DA269D" w:rsidRPr="000E4893">
            <w:rPr>
              <w:rFonts w:ascii="Titillium Web Light" w:hAnsi="Titillium Web Light"/>
              <w:color w:val="2F4D83" w:themeColor="accent1"/>
            </w:rPr>
            <w:t>PL</w:t>
          </w:r>
          <w:r w:rsidR="00FE735D" w:rsidRPr="000E4893">
            <w:rPr>
              <w:rFonts w:ascii="Titillium Web Light" w:hAnsi="Titillium Web Light"/>
              <w:color w:val="2F4D83" w:themeColor="accent1"/>
            </w:rPr>
            <w:t>6792828691</w:t>
          </w:r>
        </w:p>
        <w:p w:rsidR="0026704F" w:rsidRPr="000E4893" w:rsidRDefault="0026704F" w:rsidP="0026704F">
          <w:pPr>
            <w:pStyle w:val="stopka0"/>
            <w:framePr w:hSpace="0" w:wrap="auto" w:vAnchor="margin" w:hAnchor="text" w:yAlign="inline"/>
            <w:rPr>
              <w:rFonts w:ascii="Titillium Web Light" w:hAnsi="Titillium Web Light"/>
              <w:color w:val="2F4D83" w:themeColor="accent1"/>
            </w:rPr>
          </w:pPr>
          <w:r w:rsidRPr="000E4893">
            <w:rPr>
              <w:rFonts w:ascii="Titillium Web Light" w:hAnsi="Titillium Web Light"/>
              <w:color w:val="2F4D83" w:themeColor="accent1"/>
            </w:rPr>
            <w:t>BDO: 0000</w:t>
          </w:r>
          <w:r w:rsidR="00FE735D" w:rsidRPr="000E4893">
            <w:rPr>
              <w:rFonts w:ascii="Titillium Web Light" w:hAnsi="Titillium Web Light"/>
              <w:color w:val="2F4D83" w:themeColor="accent1"/>
            </w:rPr>
            <w:t>66807</w:t>
          </w:r>
        </w:p>
        <w:p w:rsidR="0026704F" w:rsidRDefault="00F85837" w:rsidP="0026704F">
          <w:pPr>
            <w:pStyle w:val="stopka0"/>
            <w:framePr w:hSpace="0" w:wrap="auto" w:vAnchor="margin" w:hAnchor="text" w:yAlign="inline"/>
            <w:rPr>
              <w:rFonts w:ascii="Titillium Web Light" w:hAnsi="Titillium Web Light"/>
              <w:color w:val="2F4D83" w:themeColor="accent1"/>
            </w:rPr>
          </w:pPr>
          <w:r w:rsidRPr="000E4893">
            <w:rPr>
              <w:rFonts w:ascii="Titillium Web Light" w:hAnsi="Titillium Web Light"/>
              <w:color w:val="2F4D83" w:themeColor="accent1"/>
            </w:rPr>
            <w:t>KRS: 0000956756</w:t>
          </w:r>
        </w:p>
        <w:p w:rsidR="000E4893" w:rsidRPr="000E4893" w:rsidRDefault="000E4893" w:rsidP="0026704F">
          <w:pPr>
            <w:pStyle w:val="stopka0"/>
            <w:framePr w:hSpace="0" w:wrap="auto" w:vAnchor="margin" w:hAnchor="text" w:yAlign="inline"/>
            <w:rPr>
              <w:rFonts w:ascii="Titillium Web Light" w:hAnsi="Titillium Web Light"/>
              <w:color w:val="2F4D83" w:themeColor="accent1"/>
            </w:rPr>
          </w:pPr>
        </w:p>
        <w:p w:rsidR="0026704F" w:rsidRPr="000E4893" w:rsidRDefault="0026704F" w:rsidP="0026704F">
          <w:pPr>
            <w:pStyle w:val="stopka0"/>
            <w:framePr w:hSpace="0" w:wrap="auto" w:vAnchor="margin" w:hAnchor="text" w:yAlign="inline"/>
            <w:rPr>
              <w:rFonts w:ascii="Titillium Web Light" w:hAnsi="Titillium Web Light"/>
              <w:color w:val="2F4D83" w:themeColor="accent1"/>
            </w:rPr>
          </w:pPr>
        </w:p>
        <w:p w:rsidR="0026704F" w:rsidRPr="000E4893" w:rsidRDefault="0026704F" w:rsidP="0026704F">
          <w:pPr>
            <w:pStyle w:val="stopka0"/>
            <w:framePr w:hSpace="0" w:wrap="auto" w:vAnchor="margin" w:hAnchor="text" w:yAlign="inline"/>
            <w:rPr>
              <w:rFonts w:ascii="Titillium Web Light" w:hAnsi="Titillium Web Light"/>
              <w:color w:val="2F4D83" w:themeColor="accent1"/>
            </w:rPr>
          </w:pPr>
        </w:p>
      </w:tc>
    </w:tr>
  </w:tbl>
  <w:p w:rsidR="003718EA" w:rsidRPr="00FA5CAD" w:rsidRDefault="003718EA" w:rsidP="003718EA">
    <w:pPr>
      <w:pStyle w:val="Stopka"/>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D97" w:rsidRDefault="00AB2D97" w:rsidP="000B41B0">
      <w:r>
        <w:separator/>
      </w:r>
    </w:p>
  </w:footnote>
  <w:footnote w:type="continuationSeparator" w:id="0">
    <w:p w:rsidR="00AB2D97" w:rsidRDefault="00AB2D97" w:rsidP="000B41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4F" w:rsidRPr="00AF2ABA" w:rsidRDefault="00504B4F" w:rsidP="00592387">
    <w:pPr>
      <w:pStyle w:val="Nagwek"/>
      <w:ind w:left="-420"/>
    </w:pPr>
  </w:p>
  <w:tbl>
    <w:tblPr>
      <w:tblStyle w:val="Tabela-Siatka"/>
      <w:tblW w:w="9639" w:type="dxa"/>
      <w:tblBorders>
        <w:top w:val="none" w:sz="0" w:space="0" w:color="auto"/>
        <w:left w:val="none" w:sz="0" w:space="0" w:color="auto"/>
        <w:bottom w:val="single" w:sz="4" w:space="0" w:color="4F8FCC" w:themeColor="accent2"/>
        <w:right w:val="none" w:sz="0" w:space="0" w:color="auto"/>
        <w:insideH w:val="none" w:sz="0" w:space="0" w:color="auto"/>
        <w:insideV w:val="none" w:sz="0" w:space="0" w:color="auto"/>
      </w:tblBorders>
      <w:tblLook w:val="04A0" w:firstRow="1" w:lastRow="0" w:firstColumn="1" w:lastColumn="0" w:noHBand="0" w:noVBand="1"/>
    </w:tblPr>
    <w:tblGrid>
      <w:gridCol w:w="7229"/>
      <w:gridCol w:w="2410"/>
    </w:tblGrid>
    <w:tr w:rsidR="002F71AD" w:rsidRPr="00AF2ABA" w:rsidTr="00072A32">
      <w:trPr>
        <w:trHeight w:val="561"/>
      </w:trPr>
      <w:tc>
        <w:tcPr>
          <w:tcW w:w="7229" w:type="dxa"/>
        </w:tcPr>
        <w:p w:rsidR="002F71AD" w:rsidRPr="00AF2ABA" w:rsidRDefault="002F71AD" w:rsidP="002F71AD">
          <w:pPr>
            <w:pStyle w:val="stopka0"/>
            <w:framePr w:hSpace="0" w:wrap="auto" w:vAnchor="margin" w:hAnchor="text" w:yAlign="inline"/>
          </w:pPr>
        </w:p>
        <w:p w:rsidR="002F71AD" w:rsidRPr="00AF2ABA" w:rsidRDefault="002F71AD" w:rsidP="002F71AD">
          <w:pPr>
            <w:pStyle w:val="stopka0"/>
            <w:framePr w:hSpace="0" w:wrap="auto" w:vAnchor="margin" w:hAnchor="text" w:yAlign="inline"/>
          </w:pPr>
        </w:p>
      </w:tc>
      <w:tc>
        <w:tcPr>
          <w:tcW w:w="2410" w:type="dxa"/>
        </w:tcPr>
        <w:p w:rsidR="002F71AD" w:rsidRPr="00AF2ABA" w:rsidRDefault="002F71AD" w:rsidP="002F71AD">
          <w:pPr>
            <w:pStyle w:val="stopka0"/>
            <w:framePr w:hSpace="0" w:wrap="auto" w:vAnchor="margin" w:hAnchor="text" w:yAlign="inline"/>
            <w:jc w:val="right"/>
          </w:pPr>
        </w:p>
        <w:p w:rsidR="002F71AD" w:rsidRPr="00AF2ABA" w:rsidRDefault="002F71AD" w:rsidP="002F71AD">
          <w:pPr>
            <w:pStyle w:val="stopka0"/>
            <w:framePr w:hSpace="0" w:wrap="auto" w:vAnchor="margin" w:hAnchor="text" w:yAlign="inline"/>
            <w:jc w:val="right"/>
          </w:pPr>
        </w:p>
      </w:tc>
    </w:tr>
  </w:tbl>
  <w:p w:rsidR="007F5224" w:rsidRPr="00AF2ABA" w:rsidRDefault="007F5224" w:rsidP="00592387">
    <w:pPr>
      <w:pStyle w:val="Nagwek"/>
      <w:ind w:left="-420"/>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F08" w:rsidRPr="00FA5CAD" w:rsidRDefault="009335CA" w:rsidP="00373F08">
    <w:pPr>
      <w:jc w:val="right"/>
      <w:rPr>
        <w:rFonts w:ascii="Raleway" w:hAnsi="Raleway"/>
        <w:bCs/>
        <w:color w:val="1F497D"/>
        <w:sz w:val="36"/>
        <w:szCs w:val="36"/>
      </w:rPr>
    </w:pPr>
    <w:r>
      <w:rPr>
        <w:noProof/>
      </w:rPr>
      <w:drawing>
        <wp:anchor distT="0" distB="0" distL="114300" distR="114300" simplePos="0" relativeHeight="251659263" behindDoc="0" locked="1" layoutInCell="1" allowOverlap="1" wp14:anchorId="7E16FCB3" wp14:editId="52E969B8">
          <wp:simplePos x="0" y="0"/>
          <wp:positionH relativeFrom="column">
            <wp:posOffset>-273685</wp:posOffset>
          </wp:positionH>
          <wp:positionV relativeFrom="paragraph">
            <wp:posOffset>144335</wp:posOffset>
          </wp:positionV>
          <wp:extent cx="2052000" cy="921600"/>
          <wp:effectExtent l="0" t="0" r="5715" b="0"/>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2000" cy="92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6704F" w:rsidRPr="00FA5CAD" w:rsidRDefault="0026704F" w:rsidP="007F5224">
    <w:pPr>
      <w:jc w:val="right"/>
      <w:rPr>
        <w:rFonts w:ascii="Raleway" w:hAnsi="Raleway"/>
        <w:bCs/>
        <w:color w:val="1F497D"/>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F63FB"/>
    <w:multiLevelType w:val="multilevel"/>
    <w:tmpl w:val="E4065B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CB1B16"/>
    <w:multiLevelType w:val="hybridMultilevel"/>
    <w:tmpl w:val="B9580A56"/>
    <w:lvl w:ilvl="0" w:tplc="0415000F">
      <w:start w:val="1"/>
      <w:numFmt w:val="decimal"/>
      <w:lvlText w:val="%1."/>
      <w:lvlJc w:val="left"/>
      <w:pPr>
        <w:ind w:left="360"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2">
    <w:nsid w:val="0E080CC4"/>
    <w:multiLevelType w:val="hybridMultilevel"/>
    <w:tmpl w:val="C582C4EA"/>
    <w:lvl w:ilvl="0" w:tplc="0415000F">
      <w:start w:val="1"/>
      <w:numFmt w:val="decimal"/>
      <w:lvlText w:val="%1."/>
      <w:lvlJc w:val="left"/>
      <w:pPr>
        <w:ind w:left="360"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3">
    <w:nsid w:val="179856C3"/>
    <w:multiLevelType w:val="hybridMultilevel"/>
    <w:tmpl w:val="9E84CE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1A85420"/>
    <w:multiLevelType w:val="hybridMultilevel"/>
    <w:tmpl w:val="1B1AF7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CC83979"/>
    <w:multiLevelType w:val="multilevel"/>
    <w:tmpl w:val="0AAEF6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972960"/>
    <w:multiLevelType w:val="multilevel"/>
    <w:tmpl w:val="1E448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477D56"/>
    <w:multiLevelType w:val="multilevel"/>
    <w:tmpl w:val="24B6B5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AC64AA4"/>
    <w:multiLevelType w:val="hybridMultilevel"/>
    <w:tmpl w:val="86E0E2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B460D48"/>
    <w:multiLevelType w:val="multilevel"/>
    <w:tmpl w:val="62282E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7C02D37"/>
    <w:multiLevelType w:val="multilevel"/>
    <w:tmpl w:val="A2041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5817CF"/>
    <w:multiLevelType w:val="hybridMultilevel"/>
    <w:tmpl w:val="A352FD10"/>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nsid w:val="5E7C0A8E"/>
    <w:multiLevelType w:val="multilevel"/>
    <w:tmpl w:val="05E81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4A30FAB"/>
    <w:multiLevelType w:val="multilevel"/>
    <w:tmpl w:val="915A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4A841F5"/>
    <w:multiLevelType w:val="multilevel"/>
    <w:tmpl w:val="43AC76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9262B41"/>
    <w:multiLevelType w:val="multilevel"/>
    <w:tmpl w:val="3182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3D0FBA"/>
    <w:multiLevelType w:val="multilevel"/>
    <w:tmpl w:val="2BB89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B8A6E6F"/>
    <w:multiLevelType w:val="hybridMultilevel"/>
    <w:tmpl w:val="EBE408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D4D7628"/>
    <w:multiLevelType w:val="hybridMultilevel"/>
    <w:tmpl w:val="7DC696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E4E0631"/>
    <w:multiLevelType w:val="multilevel"/>
    <w:tmpl w:val="7AB856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E685756"/>
    <w:multiLevelType w:val="multilevel"/>
    <w:tmpl w:val="7952C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0B77963"/>
    <w:multiLevelType w:val="hybridMultilevel"/>
    <w:tmpl w:val="224620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1470E7A"/>
    <w:multiLevelType w:val="multilevel"/>
    <w:tmpl w:val="FE7A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359732C"/>
    <w:multiLevelType w:val="multilevel"/>
    <w:tmpl w:val="6C7C6A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56F7DBD"/>
    <w:multiLevelType w:val="multilevel"/>
    <w:tmpl w:val="35A69E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944749F"/>
    <w:multiLevelType w:val="multilevel"/>
    <w:tmpl w:val="D196117C"/>
    <w:lvl w:ilvl="0">
      <w:start w:val="10"/>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D2D77F5"/>
    <w:multiLevelType w:val="hybridMultilevel"/>
    <w:tmpl w:val="6448B9BC"/>
    <w:lvl w:ilvl="0" w:tplc="0415000F">
      <w:start w:val="1"/>
      <w:numFmt w:val="decimal"/>
      <w:lvlText w:val="%1."/>
      <w:lvlJc w:val="left"/>
      <w:pPr>
        <w:ind w:left="660" w:hanging="360"/>
      </w:p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num w:numId="1">
    <w:abstractNumId w:val="11"/>
  </w:num>
  <w:num w:numId="2">
    <w:abstractNumId w:val="2"/>
  </w:num>
  <w:num w:numId="3">
    <w:abstractNumId w:val="1"/>
  </w:num>
  <w:num w:numId="4">
    <w:abstractNumId w:val="4"/>
  </w:num>
  <w:num w:numId="5">
    <w:abstractNumId w:val="8"/>
  </w:num>
  <w:num w:numId="6">
    <w:abstractNumId w:val="3"/>
  </w:num>
  <w:num w:numId="7">
    <w:abstractNumId w:val="17"/>
  </w:num>
  <w:num w:numId="8">
    <w:abstractNumId w:val="16"/>
  </w:num>
  <w:num w:numId="9">
    <w:abstractNumId w:val="6"/>
  </w:num>
  <w:num w:numId="10">
    <w:abstractNumId w:val="14"/>
  </w:num>
  <w:num w:numId="11">
    <w:abstractNumId w:val="22"/>
  </w:num>
  <w:num w:numId="12">
    <w:abstractNumId w:val="15"/>
  </w:num>
  <w:num w:numId="13">
    <w:abstractNumId w:val="5"/>
  </w:num>
  <w:num w:numId="14">
    <w:abstractNumId w:val="25"/>
  </w:num>
  <w:num w:numId="15">
    <w:abstractNumId w:val="12"/>
  </w:num>
  <w:num w:numId="16">
    <w:abstractNumId w:val="20"/>
  </w:num>
  <w:num w:numId="17">
    <w:abstractNumId w:val="23"/>
  </w:num>
  <w:num w:numId="18">
    <w:abstractNumId w:val="24"/>
  </w:num>
  <w:num w:numId="19">
    <w:abstractNumId w:val="7"/>
  </w:num>
  <w:num w:numId="20">
    <w:abstractNumId w:val="13"/>
  </w:num>
  <w:num w:numId="21">
    <w:abstractNumId w:val="0"/>
  </w:num>
  <w:num w:numId="22">
    <w:abstractNumId w:val="10"/>
  </w:num>
  <w:num w:numId="23">
    <w:abstractNumId w:val="9"/>
  </w:num>
  <w:num w:numId="24">
    <w:abstractNumId w:val="19"/>
  </w:num>
  <w:num w:numId="25">
    <w:abstractNumId w:val="26"/>
  </w:num>
  <w:num w:numId="26">
    <w:abstractNumId w:val="2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770"/>
    <w:rsid w:val="00025B91"/>
    <w:rsid w:val="00026B4A"/>
    <w:rsid w:val="000351C9"/>
    <w:rsid w:val="00050281"/>
    <w:rsid w:val="00072A32"/>
    <w:rsid w:val="000A2437"/>
    <w:rsid w:val="000B41B0"/>
    <w:rsid w:val="000C326E"/>
    <w:rsid w:val="000E1202"/>
    <w:rsid w:val="000E4893"/>
    <w:rsid w:val="0010111F"/>
    <w:rsid w:val="00102AA4"/>
    <w:rsid w:val="001053B9"/>
    <w:rsid w:val="001134B8"/>
    <w:rsid w:val="00131CE2"/>
    <w:rsid w:val="0014249C"/>
    <w:rsid w:val="00150B65"/>
    <w:rsid w:val="00157019"/>
    <w:rsid w:val="001B68E5"/>
    <w:rsid w:val="001D7624"/>
    <w:rsid w:val="001E2D6A"/>
    <w:rsid w:val="001F02A1"/>
    <w:rsid w:val="001F1917"/>
    <w:rsid w:val="00203F73"/>
    <w:rsid w:val="00212D51"/>
    <w:rsid w:val="002226C2"/>
    <w:rsid w:val="0024176B"/>
    <w:rsid w:val="0026704F"/>
    <w:rsid w:val="00274FBC"/>
    <w:rsid w:val="002750B6"/>
    <w:rsid w:val="002863B0"/>
    <w:rsid w:val="002A430F"/>
    <w:rsid w:val="002C0A07"/>
    <w:rsid w:val="002F71AD"/>
    <w:rsid w:val="0031363E"/>
    <w:rsid w:val="00337922"/>
    <w:rsid w:val="003718EA"/>
    <w:rsid w:val="00372789"/>
    <w:rsid w:val="003729B1"/>
    <w:rsid w:val="00373F08"/>
    <w:rsid w:val="00375F41"/>
    <w:rsid w:val="003845EA"/>
    <w:rsid w:val="003941D6"/>
    <w:rsid w:val="003A4092"/>
    <w:rsid w:val="003B05D4"/>
    <w:rsid w:val="003B6671"/>
    <w:rsid w:val="003B6EA4"/>
    <w:rsid w:val="003C0BF1"/>
    <w:rsid w:val="004005F3"/>
    <w:rsid w:val="00413BD4"/>
    <w:rsid w:val="004222F8"/>
    <w:rsid w:val="00433B8E"/>
    <w:rsid w:val="00451C1B"/>
    <w:rsid w:val="00454947"/>
    <w:rsid w:val="00455E7F"/>
    <w:rsid w:val="004811D9"/>
    <w:rsid w:val="00486EC5"/>
    <w:rsid w:val="00487555"/>
    <w:rsid w:val="004922C2"/>
    <w:rsid w:val="004A32AA"/>
    <w:rsid w:val="004A46EA"/>
    <w:rsid w:val="004B4DB9"/>
    <w:rsid w:val="004F38CC"/>
    <w:rsid w:val="004F466C"/>
    <w:rsid w:val="004F65B6"/>
    <w:rsid w:val="00504B4F"/>
    <w:rsid w:val="005559B2"/>
    <w:rsid w:val="0057314A"/>
    <w:rsid w:val="00592387"/>
    <w:rsid w:val="0059458F"/>
    <w:rsid w:val="005B6FAC"/>
    <w:rsid w:val="005C2CED"/>
    <w:rsid w:val="005E0CA4"/>
    <w:rsid w:val="006222E6"/>
    <w:rsid w:val="00645015"/>
    <w:rsid w:val="00646008"/>
    <w:rsid w:val="006734D7"/>
    <w:rsid w:val="0068217C"/>
    <w:rsid w:val="00686153"/>
    <w:rsid w:val="00694F80"/>
    <w:rsid w:val="006B33E7"/>
    <w:rsid w:val="006D637E"/>
    <w:rsid w:val="006E0938"/>
    <w:rsid w:val="00701889"/>
    <w:rsid w:val="00702C43"/>
    <w:rsid w:val="00707259"/>
    <w:rsid w:val="00742E04"/>
    <w:rsid w:val="00777C9F"/>
    <w:rsid w:val="007A100D"/>
    <w:rsid w:val="007B3AA3"/>
    <w:rsid w:val="007D08C1"/>
    <w:rsid w:val="007E68F6"/>
    <w:rsid w:val="007F5224"/>
    <w:rsid w:val="007F79E4"/>
    <w:rsid w:val="00825A1F"/>
    <w:rsid w:val="008322E8"/>
    <w:rsid w:val="008341BD"/>
    <w:rsid w:val="00840D41"/>
    <w:rsid w:val="00870D47"/>
    <w:rsid w:val="008D1036"/>
    <w:rsid w:val="008F0110"/>
    <w:rsid w:val="008F0175"/>
    <w:rsid w:val="00921643"/>
    <w:rsid w:val="00932655"/>
    <w:rsid w:val="00932ACA"/>
    <w:rsid w:val="009335CA"/>
    <w:rsid w:val="009919C0"/>
    <w:rsid w:val="009A177D"/>
    <w:rsid w:val="009C43DA"/>
    <w:rsid w:val="009E5EE1"/>
    <w:rsid w:val="00A17C89"/>
    <w:rsid w:val="00A363AE"/>
    <w:rsid w:val="00A51BBA"/>
    <w:rsid w:val="00A62B13"/>
    <w:rsid w:val="00A73279"/>
    <w:rsid w:val="00A762A0"/>
    <w:rsid w:val="00AA4550"/>
    <w:rsid w:val="00AB10E0"/>
    <w:rsid w:val="00AB2D97"/>
    <w:rsid w:val="00AB7693"/>
    <w:rsid w:val="00AC16BD"/>
    <w:rsid w:val="00AC5F03"/>
    <w:rsid w:val="00AF2ABA"/>
    <w:rsid w:val="00AF5F9C"/>
    <w:rsid w:val="00B14706"/>
    <w:rsid w:val="00B66845"/>
    <w:rsid w:val="00B80567"/>
    <w:rsid w:val="00BA317A"/>
    <w:rsid w:val="00BB3371"/>
    <w:rsid w:val="00BB659E"/>
    <w:rsid w:val="00C03235"/>
    <w:rsid w:val="00C278A5"/>
    <w:rsid w:val="00C340FD"/>
    <w:rsid w:val="00C5010B"/>
    <w:rsid w:val="00C54F4B"/>
    <w:rsid w:val="00C66C17"/>
    <w:rsid w:val="00C752E9"/>
    <w:rsid w:val="00C76770"/>
    <w:rsid w:val="00C77CFF"/>
    <w:rsid w:val="00C9215A"/>
    <w:rsid w:val="00CB3B08"/>
    <w:rsid w:val="00CB4376"/>
    <w:rsid w:val="00CE0660"/>
    <w:rsid w:val="00D07B0D"/>
    <w:rsid w:val="00D11416"/>
    <w:rsid w:val="00D31CBB"/>
    <w:rsid w:val="00D41E38"/>
    <w:rsid w:val="00D605D8"/>
    <w:rsid w:val="00D756A5"/>
    <w:rsid w:val="00DA269D"/>
    <w:rsid w:val="00DA43F4"/>
    <w:rsid w:val="00DE0650"/>
    <w:rsid w:val="00E2174E"/>
    <w:rsid w:val="00E22973"/>
    <w:rsid w:val="00E60E54"/>
    <w:rsid w:val="00E61AB9"/>
    <w:rsid w:val="00E62B6F"/>
    <w:rsid w:val="00E66942"/>
    <w:rsid w:val="00EC7CAD"/>
    <w:rsid w:val="00ED2473"/>
    <w:rsid w:val="00ED351C"/>
    <w:rsid w:val="00ED4602"/>
    <w:rsid w:val="00ED66EB"/>
    <w:rsid w:val="00EE4151"/>
    <w:rsid w:val="00EE54E4"/>
    <w:rsid w:val="00F1431B"/>
    <w:rsid w:val="00F32E72"/>
    <w:rsid w:val="00F71550"/>
    <w:rsid w:val="00F85837"/>
    <w:rsid w:val="00F95561"/>
    <w:rsid w:val="00F96E87"/>
    <w:rsid w:val="00FA5CAD"/>
    <w:rsid w:val="00FB391D"/>
    <w:rsid w:val="00FB397B"/>
    <w:rsid w:val="00FB6851"/>
    <w:rsid w:val="00FE2F5E"/>
    <w:rsid w:val="00FE735D"/>
    <w:rsid w:val="00FE76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677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5E0CA4"/>
    <w:pPr>
      <w:keepNext/>
      <w:keepLines/>
      <w:spacing w:before="240" w:line="259" w:lineRule="auto"/>
      <w:outlineLvl w:val="0"/>
    </w:pPr>
    <w:rPr>
      <w:rFonts w:asciiTheme="majorHAnsi" w:eastAsiaTheme="majorEastAsia" w:hAnsiTheme="majorHAnsi" w:cstheme="majorBidi"/>
      <w:color w:val="233961" w:themeColor="accent1" w:themeShade="BF"/>
      <w:sz w:val="32"/>
      <w:szCs w:val="32"/>
      <w:lang w:val="en-US"/>
    </w:rPr>
  </w:style>
  <w:style w:type="paragraph" w:styleId="Nagwek2">
    <w:name w:val="heading 2"/>
    <w:basedOn w:val="Normalny"/>
    <w:next w:val="Normalny"/>
    <w:link w:val="Nagwek2Znak"/>
    <w:uiPriority w:val="9"/>
    <w:unhideWhenUsed/>
    <w:qFormat/>
    <w:rsid w:val="00375F41"/>
    <w:pPr>
      <w:keepNext/>
      <w:keepLines/>
      <w:spacing w:before="40"/>
      <w:outlineLvl w:val="1"/>
    </w:pPr>
    <w:rPr>
      <w:rFonts w:asciiTheme="majorHAnsi" w:eastAsiaTheme="majorEastAsia" w:hAnsiTheme="majorHAnsi" w:cstheme="majorBidi"/>
      <w:color w:val="233961" w:themeColor="accent1" w:themeShade="BF"/>
      <w:sz w:val="26"/>
      <w:szCs w:val="26"/>
    </w:rPr>
  </w:style>
  <w:style w:type="paragraph" w:styleId="Nagwek3">
    <w:name w:val="heading 3"/>
    <w:basedOn w:val="Normalny"/>
    <w:next w:val="Normalny"/>
    <w:link w:val="Nagwek3Znak"/>
    <w:uiPriority w:val="9"/>
    <w:unhideWhenUsed/>
    <w:qFormat/>
    <w:rsid w:val="00375F41"/>
    <w:pPr>
      <w:keepNext/>
      <w:keepLines/>
      <w:spacing w:before="40"/>
      <w:outlineLvl w:val="2"/>
    </w:pPr>
    <w:rPr>
      <w:rFonts w:asciiTheme="majorHAnsi" w:eastAsiaTheme="majorEastAsia" w:hAnsiTheme="majorHAnsi" w:cstheme="majorBidi"/>
      <w:color w:val="172641"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04B4F"/>
    <w:pPr>
      <w:tabs>
        <w:tab w:val="center" w:pos="4536"/>
        <w:tab w:val="right" w:pos="9072"/>
      </w:tabs>
    </w:pPr>
  </w:style>
  <w:style w:type="character" w:customStyle="1" w:styleId="NagwekZnak">
    <w:name w:val="Nagłówek Znak"/>
    <w:basedOn w:val="Domylnaczcionkaakapitu"/>
    <w:link w:val="Nagwek"/>
    <w:uiPriority w:val="99"/>
    <w:rsid w:val="00504B4F"/>
  </w:style>
  <w:style w:type="paragraph" w:styleId="Stopka">
    <w:name w:val="footer"/>
    <w:basedOn w:val="Normalny"/>
    <w:link w:val="StopkaZnak"/>
    <w:uiPriority w:val="99"/>
    <w:unhideWhenUsed/>
    <w:rsid w:val="00504B4F"/>
    <w:pPr>
      <w:tabs>
        <w:tab w:val="center" w:pos="4536"/>
        <w:tab w:val="right" w:pos="9072"/>
      </w:tabs>
    </w:pPr>
  </w:style>
  <w:style w:type="character" w:customStyle="1" w:styleId="StopkaZnak">
    <w:name w:val="Stopka Znak"/>
    <w:basedOn w:val="Domylnaczcionkaakapitu"/>
    <w:link w:val="Stopka"/>
    <w:uiPriority w:val="99"/>
    <w:rsid w:val="00504B4F"/>
  </w:style>
  <w:style w:type="character" w:styleId="Hipercze">
    <w:name w:val="Hyperlink"/>
    <w:basedOn w:val="Domylnaczcionkaakapitu"/>
    <w:uiPriority w:val="99"/>
    <w:unhideWhenUsed/>
    <w:rsid w:val="0057314A"/>
    <w:rPr>
      <w:color w:val="FF0000" w:themeColor="hyperlink"/>
      <w:u w:val="single"/>
    </w:rPr>
  </w:style>
  <w:style w:type="character" w:customStyle="1" w:styleId="Nierozpoznanawzmianka1">
    <w:name w:val="Nierozpoznana wzmianka1"/>
    <w:basedOn w:val="Domylnaczcionkaakapitu"/>
    <w:uiPriority w:val="99"/>
    <w:semiHidden/>
    <w:unhideWhenUsed/>
    <w:rsid w:val="0057314A"/>
    <w:rPr>
      <w:color w:val="605E5C"/>
      <w:shd w:val="clear" w:color="auto" w:fill="E1DFDD"/>
    </w:rPr>
  </w:style>
  <w:style w:type="table" w:styleId="Tabela-Siatka">
    <w:name w:val="Table Grid"/>
    <w:basedOn w:val="Standardowy"/>
    <w:uiPriority w:val="39"/>
    <w:rsid w:val="00FB3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opka0">
    <w:name w:val="stopka"/>
    <w:basedOn w:val="Stopka"/>
    <w:link w:val="stopkaZnak0"/>
    <w:qFormat/>
    <w:rsid w:val="00777C9F"/>
    <w:pPr>
      <w:framePr w:hSpace="141" w:wrap="around" w:vAnchor="text" w:hAnchor="margin" w:y="2513"/>
    </w:pPr>
    <w:rPr>
      <w:color w:val="000000" w:themeColor="text1"/>
      <w:sz w:val="14"/>
      <w:szCs w:val="16"/>
    </w:rPr>
  </w:style>
  <w:style w:type="paragraph" w:styleId="Tytu">
    <w:name w:val="Title"/>
    <w:basedOn w:val="Normalny"/>
    <w:next w:val="Normalny"/>
    <w:link w:val="TytuZnak"/>
    <w:uiPriority w:val="10"/>
    <w:qFormat/>
    <w:rsid w:val="00375F41"/>
    <w:pPr>
      <w:contextualSpacing/>
      <w:jc w:val="center"/>
    </w:pPr>
    <w:rPr>
      <w:rFonts w:asciiTheme="majorHAnsi" w:eastAsiaTheme="majorEastAsia" w:hAnsiTheme="majorHAnsi" w:cstheme="majorBidi"/>
      <w:spacing w:val="-10"/>
      <w:kern w:val="28"/>
      <w:sz w:val="56"/>
      <w:szCs w:val="56"/>
    </w:rPr>
  </w:style>
  <w:style w:type="character" w:customStyle="1" w:styleId="stopkaZnak0">
    <w:name w:val="stopka Znak"/>
    <w:basedOn w:val="StopkaZnak"/>
    <w:link w:val="stopka0"/>
    <w:rsid w:val="00777C9F"/>
    <w:rPr>
      <w:rFonts w:ascii="Titillium Web Light" w:hAnsi="Titillium Web Light"/>
      <w:color w:val="000000" w:themeColor="text1"/>
      <w:sz w:val="14"/>
      <w:szCs w:val="16"/>
    </w:rPr>
  </w:style>
  <w:style w:type="character" w:customStyle="1" w:styleId="TytuZnak">
    <w:name w:val="Tytuł Znak"/>
    <w:basedOn w:val="Domylnaczcionkaakapitu"/>
    <w:link w:val="Tytu"/>
    <w:uiPriority w:val="10"/>
    <w:rsid w:val="00375F41"/>
    <w:rPr>
      <w:rFonts w:asciiTheme="majorHAnsi" w:eastAsiaTheme="majorEastAsia" w:hAnsiTheme="majorHAnsi" w:cstheme="majorBidi"/>
      <w:spacing w:val="-10"/>
      <w:kern w:val="28"/>
      <w:sz w:val="56"/>
      <w:szCs w:val="56"/>
    </w:rPr>
  </w:style>
  <w:style w:type="paragraph" w:styleId="Bezodstpw">
    <w:name w:val="No Spacing"/>
    <w:link w:val="BezodstpwZnak"/>
    <w:uiPriority w:val="1"/>
    <w:qFormat/>
    <w:rsid w:val="00375F41"/>
    <w:pPr>
      <w:spacing w:after="0" w:line="240" w:lineRule="auto"/>
    </w:pPr>
  </w:style>
  <w:style w:type="character" w:customStyle="1" w:styleId="Nagwek2Znak">
    <w:name w:val="Nagłówek 2 Znak"/>
    <w:basedOn w:val="Domylnaczcionkaakapitu"/>
    <w:link w:val="Nagwek2"/>
    <w:uiPriority w:val="9"/>
    <w:rsid w:val="00375F41"/>
    <w:rPr>
      <w:rFonts w:asciiTheme="majorHAnsi" w:eastAsiaTheme="majorEastAsia" w:hAnsiTheme="majorHAnsi" w:cstheme="majorBidi"/>
      <w:color w:val="233961" w:themeColor="accent1" w:themeShade="BF"/>
      <w:sz w:val="26"/>
      <w:szCs w:val="26"/>
    </w:rPr>
  </w:style>
  <w:style w:type="character" w:customStyle="1" w:styleId="Nagwek3Znak">
    <w:name w:val="Nagłówek 3 Znak"/>
    <w:basedOn w:val="Domylnaczcionkaakapitu"/>
    <w:link w:val="Nagwek3"/>
    <w:uiPriority w:val="9"/>
    <w:rsid w:val="00375F41"/>
    <w:rPr>
      <w:rFonts w:asciiTheme="majorHAnsi" w:eastAsiaTheme="majorEastAsia" w:hAnsiTheme="majorHAnsi" w:cstheme="majorBidi"/>
      <w:color w:val="172641" w:themeColor="accent1" w:themeShade="7F"/>
      <w:sz w:val="24"/>
      <w:szCs w:val="24"/>
    </w:rPr>
  </w:style>
  <w:style w:type="paragraph" w:customStyle="1" w:styleId="podpis">
    <w:name w:val="podpis"/>
    <w:basedOn w:val="uwypuklenie"/>
    <w:link w:val="podpisZnak"/>
    <w:qFormat/>
    <w:rsid w:val="004222F8"/>
    <w:pPr>
      <w:jc w:val="right"/>
    </w:pPr>
    <w:rPr>
      <w:sz w:val="24"/>
      <w:szCs w:val="24"/>
    </w:rPr>
  </w:style>
  <w:style w:type="character" w:customStyle="1" w:styleId="podpisZnak">
    <w:name w:val="podpis Znak"/>
    <w:basedOn w:val="Domylnaczcionkaakapitu"/>
    <w:link w:val="podpis"/>
    <w:rsid w:val="004222F8"/>
    <w:rPr>
      <w:rFonts w:ascii="Titillium Web Light" w:hAnsi="Titillium Web Light" w:cs="Calibri"/>
      <w:b/>
      <w:bCs/>
      <w:color w:val="2F4D83" w:themeColor="accent1"/>
      <w:sz w:val="24"/>
      <w:szCs w:val="24"/>
    </w:rPr>
  </w:style>
  <w:style w:type="character" w:styleId="Pogrubienie">
    <w:name w:val="Strong"/>
    <w:basedOn w:val="Domylnaczcionkaakapitu"/>
    <w:uiPriority w:val="22"/>
    <w:qFormat/>
    <w:rsid w:val="003B6EA4"/>
    <w:rPr>
      <w:rFonts w:cs="Times New Roman"/>
      <w:b/>
      <w:bCs/>
    </w:rPr>
  </w:style>
  <w:style w:type="paragraph" w:styleId="Akapitzlist">
    <w:name w:val="List Paragraph"/>
    <w:basedOn w:val="Normalny"/>
    <w:uiPriority w:val="34"/>
    <w:qFormat/>
    <w:rsid w:val="003B6EA4"/>
    <w:pPr>
      <w:spacing w:line="276" w:lineRule="auto"/>
      <w:ind w:left="720"/>
      <w:contextualSpacing/>
    </w:pPr>
    <w:rPr>
      <w:rFonts w:ascii="Calibri" w:hAnsi="Calibri"/>
      <w:sz w:val="22"/>
    </w:rPr>
  </w:style>
  <w:style w:type="paragraph" w:customStyle="1" w:styleId="paragraph">
    <w:name w:val="paragraph"/>
    <w:basedOn w:val="Normalny"/>
    <w:rsid w:val="00D07B0D"/>
    <w:pPr>
      <w:spacing w:before="100" w:beforeAutospacing="1" w:after="100" w:afterAutospacing="1"/>
    </w:pPr>
  </w:style>
  <w:style w:type="character" w:customStyle="1" w:styleId="normaltextrun">
    <w:name w:val="normaltextrun"/>
    <w:rsid w:val="00D07B0D"/>
  </w:style>
  <w:style w:type="character" w:customStyle="1" w:styleId="eop">
    <w:name w:val="eop"/>
    <w:rsid w:val="00D07B0D"/>
  </w:style>
  <w:style w:type="character" w:customStyle="1" w:styleId="spellingerror">
    <w:name w:val="spellingerror"/>
    <w:rsid w:val="00D07B0D"/>
  </w:style>
  <w:style w:type="paragraph" w:customStyle="1" w:styleId="uwypuklenie">
    <w:name w:val="uwypuklenie"/>
    <w:basedOn w:val="Normalny"/>
    <w:link w:val="uwypuklenieZnak"/>
    <w:qFormat/>
    <w:rsid w:val="00274FBC"/>
    <w:pPr>
      <w:spacing w:before="100" w:beforeAutospacing="1"/>
      <w:jc w:val="center"/>
    </w:pPr>
    <w:rPr>
      <w:b/>
      <w:bCs/>
      <w:color w:val="2F4D83" w:themeColor="accent1"/>
      <w:sz w:val="28"/>
      <w:szCs w:val="28"/>
    </w:rPr>
  </w:style>
  <w:style w:type="character" w:customStyle="1" w:styleId="uwypuklenieZnak">
    <w:name w:val="uwypuklenie Znak"/>
    <w:basedOn w:val="Domylnaczcionkaakapitu"/>
    <w:link w:val="uwypuklenie"/>
    <w:rsid w:val="00274FBC"/>
    <w:rPr>
      <w:rFonts w:ascii="Titillium Web Light" w:hAnsi="Titillium Web Light" w:cs="Calibri"/>
      <w:b/>
      <w:bCs/>
      <w:color w:val="2F4D83" w:themeColor="accent1"/>
      <w:sz w:val="28"/>
      <w:szCs w:val="28"/>
    </w:rPr>
  </w:style>
  <w:style w:type="paragraph" w:customStyle="1" w:styleId="stopkawyrnienie">
    <w:name w:val="stopka wyróżnienie"/>
    <w:basedOn w:val="stopka0"/>
    <w:link w:val="stopkawyrnienieZnak"/>
    <w:qFormat/>
    <w:rsid w:val="00451C1B"/>
    <w:pPr>
      <w:framePr w:wrap="around"/>
    </w:pPr>
    <w:rPr>
      <w:color w:val="2F4D83" w:themeColor="accent1"/>
      <w:sz w:val="16"/>
    </w:rPr>
  </w:style>
  <w:style w:type="character" w:customStyle="1" w:styleId="stopkawyrnienieZnak">
    <w:name w:val="stopka wyróżnienie Znak"/>
    <w:basedOn w:val="stopkaZnak0"/>
    <w:link w:val="stopkawyrnienie"/>
    <w:rsid w:val="00451C1B"/>
    <w:rPr>
      <w:rFonts w:ascii="Titillium Web Light" w:eastAsia="Times New Roman" w:hAnsi="Titillium Web Light" w:cs="Times New Roman"/>
      <w:color w:val="2F4D83" w:themeColor="accent1"/>
      <w:sz w:val="16"/>
      <w:szCs w:val="16"/>
      <w:lang w:val="en-GB"/>
    </w:rPr>
  </w:style>
  <w:style w:type="character" w:styleId="Wyrnienieintensywne">
    <w:name w:val="Intense Emphasis"/>
    <w:uiPriority w:val="21"/>
    <w:qFormat/>
    <w:rsid w:val="002F71AD"/>
    <w:rPr>
      <w:b/>
      <w:bCs/>
      <w:i/>
      <w:iCs/>
      <w:color w:val="4F81BD"/>
    </w:rPr>
  </w:style>
  <w:style w:type="paragraph" w:customStyle="1" w:styleId="tabelkaopis">
    <w:name w:val="tabelka opis"/>
    <w:basedOn w:val="Bezodstpw"/>
    <w:link w:val="tabelkaopisZnak"/>
    <w:qFormat/>
    <w:rsid w:val="002F71AD"/>
    <w:rPr>
      <w:rFonts w:ascii="Titillium Web" w:hAnsi="Titillium Web"/>
      <w:smallCaps/>
      <w:sz w:val="16"/>
      <w:szCs w:val="16"/>
      <w:lang w:val="en-GB"/>
    </w:rPr>
  </w:style>
  <w:style w:type="character" w:customStyle="1" w:styleId="BezodstpwZnak">
    <w:name w:val="Bez odstępów Znak"/>
    <w:basedOn w:val="Domylnaczcionkaakapitu"/>
    <w:link w:val="Bezodstpw"/>
    <w:uiPriority w:val="1"/>
    <w:rsid w:val="002F71AD"/>
  </w:style>
  <w:style w:type="character" w:customStyle="1" w:styleId="tabelkaopisZnak">
    <w:name w:val="tabelka opis Znak"/>
    <w:basedOn w:val="BezodstpwZnak"/>
    <w:link w:val="tabelkaopis"/>
    <w:rsid w:val="002F71AD"/>
    <w:rPr>
      <w:rFonts w:ascii="Titillium Web" w:hAnsi="Titillium Web"/>
      <w:smallCaps/>
      <w:sz w:val="16"/>
      <w:szCs w:val="16"/>
      <w:lang w:val="en-GB"/>
    </w:rPr>
  </w:style>
  <w:style w:type="paragraph" w:customStyle="1" w:styleId="Tabelkatre">
    <w:name w:val="Tabelka treść"/>
    <w:basedOn w:val="Normalny"/>
    <w:link w:val="TabelkatreZnak"/>
    <w:qFormat/>
    <w:rsid w:val="002F71AD"/>
    <w:pPr>
      <w:ind w:right="-1384"/>
    </w:pPr>
    <w:rPr>
      <w:rFonts w:ascii="Titillium Web" w:hAnsi="Titillium Web"/>
      <w:sz w:val="20"/>
      <w:szCs w:val="20"/>
    </w:rPr>
  </w:style>
  <w:style w:type="character" w:customStyle="1" w:styleId="TabelkatreZnak">
    <w:name w:val="Tabelka treść Znak"/>
    <w:basedOn w:val="Domylnaczcionkaakapitu"/>
    <w:link w:val="Tabelkatre"/>
    <w:rsid w:val="002F71AD"/>
    <w:rPr>
      <w:rFonts w:ascii="Titillium Web" w:eastAsia="Times New Roman" w:hAnsi="Titillium Web" w:cs="Times New Roman"/>
      <w:sz w:val="20"/>
      <w:szCs w:val="20"/>
      <w:lang w:val="en-GB"/>
    </w:rPr>
  </w:style>
  <w:style w:type="character" w:customStyle="1" w:styleId="Nagwek1Znak">
    <w:name w:val="Nagłówek 1 Znak"/>
    <w:basedOn w:val="Domylnaczcionkaakapitu"/>
    <w:link w:val="Nagwek1"/>
    <w:rsid w:val="005E0CA4"/>
    <w:rPr>
      <w:rFonts w:asciiTheme="majorHAnsi" w:eastAsiaTheme="majorEastAsia" w:hAnsiTheme="majorHAnsi" w:cstheme="majorBidi"/>
      <w:color w:val="233961" w:themeColor="accent1" w:themeShade="BF"/>
      <w:sz w:val="32"/>
      <w:szCs w:val="32"/>
      <w:lang w:val="en-US"/>
    </w:rPr>
  </w:style>
  <w:style w:type="character" w:styleId="Uwydatnienie">
    <w:name w:val="Emphasis"/>
    <w:basedOn w:val="Domylnaczcionkaakapitu"/>
    <w:uiPriority w:val="20"/>
    <w:qFormat/>
    <w:rsid w:val="00FA5CAD"/>
    <w:rPr>
      <w:i/>
      <w:iCs/>
    </w:rPr>
  </w:style>
  <w:style w:type="paragraph" w:customStyle="1" w:styleId="TYTUDOKUMENTU">
    <w:name w:val="TYTUŁ DOKUMENTU"/>
    <w:basedOn w:val="Nagwek1"/>
    <w:link w:val="TYTUDOKUMENTUZnak"/>
    <w:qFormat/>
    <w:rsid w:val="00ED4602"/>
    <w:pPr>
      <w:jc w:val="center"/>
    </w:pPr>
    <w:rPr>
      <w:rFonts w:ascii="Raleway" w:hAnsi="Raleway"/>
    </w:rPr>
  </w:style>
  <w:style w:type="paragraph" w:customStyle="1" w:styleId="ADRESAT">
    <w:name w:val="ADRESAT"/>
    <w:basedOn w:val="TYTUDOKUMENTU"/>
    <w:link w:val="ADRESATZnak"/>
    <w:qFormat/>
    <w:rsid w:val="00ED4602"/>
    <w:pPr>
      <w:ind w:left="4536"/>
    </w:pPr>
    <w:rPr>
      <w:rFonts w:ascii="Titillium Web Light" w:hAnsi="Titillium Web Light"/>
    </w:rPr>
  </w:style>
  <w:style w:type="character" w:customStyle="1" w:styleId="TYTUDOKUMENTUZnak">
    <w:name w:val="TYTUŁ DOKUMENTU Znak"/>
    <w:basedOn w:val="Nagwek1Znak"/>
    <w:link w:val="TYTUDOKUMENTU"/>
    <w:rsid w:val="00ED4602"/>
    <w:rPr>
      <w:rFonts w:ascii="Raleway" w:eastAsiaTheme="majorEastAsia" w:hAnsi="Raleway" w:cstheme="majorBidi"/>
      <w:color w:val="233961" w:themeColor="accent1" w:themeShade="BF"/>
      <w:sz w:val="32"/>
      <w:szCs w:val="32"/>
      <w:lang w:val="en-US"/>
    </w:rPr>
  </w:style>
  <w:style w:type="paragraph" w:customStyle="1" w:styleId="Adresat0">
    <w:name w:val="Adresat"/>
    <w:basedOn w:val="ADRESAT"/>
    <w:link w:val="AdresatZnak0"/>
    <w:qFormat/>
    <w:rsid w:val="00ED4602"/>
    <w:pPr>
      <w:jc w:val="right"/>
    </w:pPr>
    <w:rPr>
      <w:color w:val="auto"/>
    </w:rPr>
  </w:style>
  <w:style w:type="character" w:customStyle="1" w:styleId="ADRESATZnak">
    <w:name w:val="ADRESAT Znak"/>
    <w:basedOn w:val="TYTUDOKUMENTUZnak"/>
    <w:link w:val="ADRESAT"/>
    <w:rsid w:val="00ED4602"/>
    <w:rPr>
      <w:rFonts w:ascii="Titillium Web Light" w:eastAsiaTheme="majorEastAsia" w:hAnsi="Titillium Web Light" w:cstheme="majorBidi"/>
      <w:color w:val="233961" w:themeColor="accent1" w:themeShade="BF"/>
      <w:sz w:val="32"/>
      <w:szCs w:val="32"/>
      <w:lang w:val="en-US"/>
    </w:rPr>
  </w:style>
  <w:style w:type="paragraph" w:customStyle="1" w:styleId="Pozdrowienie">
    <w:name w:val="Pozdrowienie"/>
    <w:basedOn w:val="ADRESAT"/>
    <w:link w:val="PozdrowienieZnak"/>
    <w:qFormat/>
    <w:rsid w:val="00ED4602"/>
    <w:pPr>
      <w:jc w:val="right"/>
    </w:pPr>
    <w:rPr>
      <w:sz w:val="24"/>
      <w:szCs w:val="24"/>
    </w:rPr>
  </w:style>
  <w:style w:type="character" w:customStyle="1" w:styleId="AdresatZnak0">
    <w:name w:val="Adresat Znak"/>
    <w:basedOn w:val="ADRESATZnak"/>
    <w:link w:val="Adresat0"/>
    <w:rsid w:val="00ED4602"/>
    <w:rPr>
      <w:rFonts w:ascii="Titillium Web Light" w:eastAsiaTheme="majorEastAsia" w:hAnsi="Titillium Web Light" w:cstheme="majorBidi"/>
      <w:color w:val="233961" w:themeColor="accent1" w:themeShade="BF"/>
      <w:sz w:val="32"/>
      <w:szCs w:val="32"/>
      <w:lang w:val="en-US"/>
    </w:rPr>
  </w:style>
  <w:style w:type="paragraph" w:customStyle="1" w:styleId="Podpislistu">
    <w:name w:val="Podpis listu"/>
    <w:basedOn w:val="Pozdrowienie"/>
    <w:link w:val="PodpislistuZnak"/>
    <w:qFormat/>
    <w:rsid w:val="00ED4602"/>
    <w:rPr>
      <w:sz w:val="28"/>
      <w:szCs w:val="28"/>
    </w:rPr>
  </w:style>
  <w:style w:type="character" w:customStyle="1" w:styleId="PozdrowienieZnak">
    <w:name w:val="Pozdrowienie Znak"/>
    <w:basedOn w:val="ADRESATZnak"/>
    <w:link w:val="Pozdrowienie"/>
    <w:rsid w:val="00ED4602"/>
    <w:rPr>
      <w:rFonts w:ascii="Titillium Web Light" w:eastAsiaTheme="majorEastAsia" w:hAnsi="Titillium Web Light" w:cstheme="majorBidi"/>
      <w:color w:val="233961" w:themeColor="accent1" w:themeShade="BF"/>
      <w:sz w:val="24"/>
      <w:szCs w:val="24"/>
      <w:lang w:val="en-US"/>
    </w:rPr>
  </w:style>
  <w:style w:type="character" w:customStyle="1" w:styleId="PodpislistuZnak">
    <w:name w:val="Podpis listu Znak"/>
    <w:basedOn w:val="PozdrowienieZnak"/>
    <w:link w:val="Podpislistu"/>
    <w:rsid w:val="00ED4602"/>
    <w:rPr>
      <w:rFonts w:ascii="Titillium Web Light" w:eastAsiaTheme="majorEastAsia" w:hAnsi="Titillium Web Light" w:cstheme="majorBidi"/>
      <w:color w:val="233961" w:themeColor="accent1" w:themeShade="BF"/>
      <w:sz w:val="28"/>
      <w:szCs w:val="28"/>
      <w:lang w:val="en-US"/>
    </w:rPr>
  </w:style>
  <w:style w:type="paragraph" w:styleId="Tekstdymka">
    <w:name w:val="Balloon Text"/>
    <w:basedOn w:val="Normalny"/>
    <w:link w:val="TekstdymkaZnak"/>
    <w:uiPriority w:val="99"/>
    <w:semiHidden/>
    <w:unhideWhenUsed/>
    <w:rsid w:val="00FE735D"/>
    <w:rPr>
      <w:rFonts w:ascii="Tahoma" w:hAnsi="Tahoma" w:cs="Tahoma"/>
      <w:sz w:val="16"/>
      <w:szCs w:val="16"/>
    </w:rPr>
  </w:style>
  <w:style w:type="character" w:customStyle="1" w:styleId="TekstdymkaZnak">
    <w:name w:val="Tekst dymka Znak"/>
    <w:basedOn w:val="Domylnaczcionkaakapitu"/>
    <w:link w:val="Tekstdymka"/>
    <w:uiPriority w:val="99"/>
    <w:semiHidden/>
    <w:rsid w:val="00FE735D"/>
    <w:rPr>
      <w:rFonts w:ascii="Tahoma" w:eastAsia="Times New Roman" w:hAnsi="Tahoma" w:cs="Tahoma"/>
      <w:sz w:val="16"/>
      <w:szCs w:val="16"/>
      <w:lang w:val="en-GB"/>
    </w:rPr>
  </w:style>
  <w:style w:type="paragraph" w:customStyle="1" w:styleId="Default">
    <w:name w:val="Default"/>
    <w:rsid w:val="00C76770"/>
    <w:pPr>
      <w:autoSpaceDE w:val="0"/>
      <w:autoSpaceDN w:val="0"/>
      <w:adjustRightInd w:val="0"/>
      <w:spacing w:after="0" w:line="240" w:lineRule="auto"/>
    </w:pPr>
    <w:rPr>
      <w:rFonts w:ascii="Arial" w:eastAsia="Times New Roman" w:hAnsi="Arial" w:cs="Arial"/>
      <w:color w:val="000000"/>
      <w:sz w:val="24"/>
      <w:szCs w:val="24"/>
      <w:lang w:eastAsia="pl-PL"/>
    </w:rPr>
  </w:style>
  <w:style w:type="paragraph" w:styleId="NormalnyWeb">
    <w:name w:val="Normal (Web)"/>
    <w:basedOn w:val="Normalny"/>
    <w:uiPriority w:val="99"/>
    <w:unhideWhenUsed/>
    <w:rsid w:val="00C7677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677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5E0CA4"/>
    <w:pPr>
      <w:keepNext/>
      <w:keepLines/>
      <w:spacing w:before="240" w:line="259" w:lineRule="auto"/>
      <w:outlineLvl w:val="0"/>
    </w:pPr>
    <w:rPr>
      <w:rFonts w:asciiTheme="majorHAnsi" w:eastAsiaTheme="majorEastAsia" w:hAnsiTheme="majorHAnsi" w:cstheme="majorBidi"/>
      <w:color w:val="233961" w:themeColor="accent1" w:themeShade="BF"/>
      <w:sz w:val="32"/>
      <w:szCs w:val="32"/>
      <w:lang w:val="en-US"/>
    </w:rPr>
  </w:style>
  <w:style w:type="paragraph" w:styleId="Nagwek2">
    <w:name w:val="heading 2"/>
    <w:basedOn w:val="Normalny"/>
    <w:next w:val="Normalny"/>
    <w:link w:val="Nagwek2Znak"/>
    <w:uiPriority w:val="9"/>
    <w:unhideWhenUsed/>
    <w:qFormat/>
    <w:rsid w:val="00375F41"/>
    <w:pPr>
      <w:keepNext/>
      <w:keepLines/>
      <w:spacing w:before="40"/>
      <w:outlineLvl w:val="1"/>
    </w:pPr>
    <w:rPr>
      <w:rFonts w:asciiTheme="majorHAnsi" w:eastAsiaTheme="majorEastAsia" w:hAnsiTheme="majorHAnsi" w:cstheme="majorBidi"/>
      <w:color w:val="233961" w:themeColor="accent1" w:themeShade="BF"/>
      <w:sz w:val="26"/>
      <w:szCs w:val="26"/>
    </w:rPr>
  </w:style>
  <w:style w:type="paragraph" w:styleId="Nagwek3">
    <w:name w:val="heading 3"/>
    <w:basedOn w:val="Normalny"/>
    <w:next w:val="Normalny"/>
    <w:link w:val="Nagwek3Znak"/>
    <w:uiPriority w:val="9"/>
    <w:unhideWhenUsed/>
    <w:qFormat/>
    <w:rsid w:val="00375F41"/>
    <w:pPr>
      <w:keepNext/>
      <w:keepLines/>
      <w:spacing w:before="40"/>
      <w:outlineLvl w:val="2"/>
    </w:pPr>
    <w:rPr>
      <w:rFonts w:asciiTheme="majorHAnsi" w:eastAsiaTheme="majorEastAsia" w:hAnsiTheme="majorHAnsi" w:cstheme="majorBidi"/>
      <w:color w:val="172641"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04B4F"/>
    <w:pPr>
      <w:tabs>
        <w:tab w:val="center" w:pos="4536"/>
        <w:tab w:val="right" w:pos="9072"/>
      </w:tabs>
    </w:pPr>
  </w:style>
  <w:style w:type="character" w:customStyle="1" w:styleId="NagwekZnak">
    <w:name w:val="Nagłówek Znak"/>
    <w:basedOn w:val="Domylnaczcionkaakapitu"/>
    <w:link w:val="Nagwek"/>
    <w:uiPriority w:val="99"/>
    <w:rsid w:val="00504B4F"/>
  </w:style>
  <w:style w:type="paragraph" w:styleId="Stopka">
    <w:name w:val="footer"/>
    <w:basedOn w:val="Normalny"/>
    <w:link w:val="StopkaZnak"/>
    <w:uiPriority w:val="99"/>
    <w:unhideWhenUsed/>
    <w:rsid w:val="00504B4F"/>
    <w:pPr>
      <w:tabs>
        <w:tab w:val="center" w:pos="4536"/>
        <w:tab w:val="right" w:pos="9072"/>
      </w:tabs>
    </w:pPr>
  </w:style>
  <w:style w:type="character" w:customStyle="1" w:styleId="StopkaZnak">
    <w:name w:val="Stopka Znak"/>
    <w:basedOn w:val="Domylnaczcionkaakapitu"/>
    <w:link w:val="Stopka"/>
    <w:uiPriority w:val="99"/>
    <w:rsid w:val="00504B4F"/>
  </w:style>
  <w:style w:type="character" w:styleId="Hipercze">
    <w:name w:val="Hyperlink"/>
    <w:basedOn w:val="Domylnaczcionkaakapitu"/>
    <w:uiPriority w:val="99"/>
    <w:unhideWhenUsed/>
    <w:rsid w:val="0057314A"/>
    <w:rPr>
      <w:color w:val="FF0000" w:themeColor="hyperlink"/>
      <w:u w:val="single"/>
    </w:rPr>
  </w:style>
  <w:style w:type="character" w:customStyle="1" w:styleId="Nierozpoznanawzmianka1">
    <w:name w:val="Nierozpoznana wzmianka1"/>
    <w:basedOn w:val="Domylnaczcionkaakapitu"/>
    <w:uiPriority w:val="99"/>
    <w:semiHidden/>
    <w:unhideWhenUsed/>
    <w:rsid w:val="0057314A"/>
    <w:rPr>
      <w:color w:val="605E5C"/>
      <w:shd w:val="clear" w:color="auto" w:fill="E1DFDD"/>
    </w:rPr>
  </w:style>
  <w:style w:type="table" w:styleId="Tabela-Siatka">
    <w:name w:val="Table Grid"/>
    <w:basedOn w:val="Standardowy"/>
    <w:uiPriority w:val="39"/>
    <w:rsid w:val="00FB3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opka0">
    <w:name w:val="stopka"/>
    <w:basedOn w:val="Stopka"/>
    <w:link w:val="stopkaZnak0"/>
    <w:qFormat/>
    <w:rsid w:val="00777C9F"/>
    <w:pPr>
      <w:framePr w:hSpace="141" w:wrap="around" w:vAnchor="text" w:hAnchor="margin" w:y="2513"/>
    </w:pPr>
    <w:rPr>
      <w:color w:val="000000" w:themeColor="text1"/>
      <w:sz w:val="14"/>
      <w:szCs w:val="16"/>
    </w:rPr>
  </w:style>
  <w:style w:type="paragraph" w:styleId="Tytu">
    <w:name w:val="Title"/>
    <w:basedOn w:val="Normalny"/>
    <w:next w:val="Normalny"/>
    <w:link w:val="TytuZnak"/>
    <w:uiPriority w:val="10"/>
    <w:qFormat/>
    <w:rsid w:val="00375F41"/>
    <w:pPr>
      <w:contextualSpacing/>
      <w:jc w:val="center"/>
    </w:pPr>
    <w:rPr>
      <w:rFonts w:asciiTheme="majorHAnsi" w:eastAsiaTheme="majorEastAsia" w:hAnsiTheme="majorHAnsi" w:cstheme="majorBidi"/>
      <w:spacing w:val="-10"/>
      <w:kern w:val="28"/>
      <w:sz w:val="56"/>
      <w:szCs w:val="56"/>
    </w:rPr>
  </w:style>
  <w:style w:type="character" w:customStyle="1" w:styleId="stopkaZnak0">
    <w:name w:val="stopka Znak"/>
    <w:basedOn w:val="StopkaZnak"/>
    <w:link w:val="stopka0"/>
    <w:rsid w:val="00777C9F"/>
    <w:rPr>
      <w:rFonts w:ascii="Titillium Web Light" w:hAnsi="Titillium Web Light"/>
      <w:color w:val="000000" w:themeColor="text1"/>
      <w:sz w:val="14"/>
      <w:szCs w:val="16"/>
    </w:rPr>
  </w:style>
  <w:style w:type="character" w:customStyle="1" w:styleId="TytuZnak">
    <w:name w:val="Tytuł Znak"/>
    <w:basedOn w:val="Domylnaczcionkaakapitu"/>
    <w:link w:val="Tytu"/>
    <w:uiPriority w:val="10"/>
    <w:rsid w:val="00375F41"/>
    <w:rPr>
      <w:rFonts w:asciiTheme="majorHAnsi" w:eastAsiaTheme="majorEastAsia" w:hAnsiTheme="majorHAnsi" w:cstheme="majorBidi"/>
      <w:spacing w:val="-10"/>
      <w:kern w:val="28"/>
      <w:sz w:val="56"/>
      <w:szCs w:val="56"/>
    </w:rPr>
  </w:style>
  <w:style w:type="paragraph" w:styleId="Bezodstpw">
    <w:name w:val="No Spacing"/>
    <w:link w:val="BezodstpwZnak"/>
    <w:uiPriority w:val="1"/>
    <w:qFormat/>
    <w:rsid w:val="00375F41"/>
    <w:pPr>
      <w:spacing w:after="0" w:line="240" w:lineRule="auto"/>
    </w:pPr>
  </w:style>
  <w:style w:type="character" w:customStyle="1" w:styleId="Nagwek2Znak">
    <w:name w:val="Nagłówek 2 Znak"/>
    <w:basedOn w:val="Domylnaczcionkaakapitu"/>
    <w:link w:val="Nagwek2"/>
    <w:uiPriority w:val="9"/>
    <w:rsid w:val="00375F41"/>
    <w:rPr>
      <w:rFonts w:asciiTheme="majorHAnsi" w:eastAsiaTheme="majorEastAsia" w:hAnsiTheme="majorHAnsi" w:cstheme="majorBidi"/>
      <w:color w:val="233961" w:themeColor="accent1" w:themeShade="BF"/>
      <w:sz w:val="26"/>
      <w:szCs w:val="26"/>
    </w:rPr>
  </w:style>
  <w:style w:type="character" w:customStyle="1" w:styleId="Nagwek3Znak">
    <w:name w:val="Nagłówek 3 Znak"/>
    <w:basedOn w:val="Domylnaczcionkaakapitu"/>
    <w:link w:val="Nagwek3"/>
    <w:uiPriority w:val="9"/>
    <w:rsid w:val="00375F41"/>
    <w:rPr>
      <w:rFonts w:asciiTheme="majorHAnsi" w:eastAsiaTheme="majorEastAsia" w:hAnsiTheme="majorHAnsi" w:cstheme="majorBidi"/>
      <w:color w:val="172641" w:themeColor="accent1" w:themeShade="7F"/>
      <w:sz w:val="24"/>
      <w:szCs w:val="24"/>
    </w:rPr>
  </w:style>
  <w:style w:type="paragraph" w:customStyle="1" w:styleId="podpis">
    <w:name w:val="podpis"/>
    <w:basedOn w:val="uwypuklenie"/>
    <w:link w:val="podpisZnak"/>
    <w:qFormat/>
    <w:rsid w:val="004222F8"/>
    <w:pPr>
      <w:jc w:val="right"/>
    </w:pPr>
    <w:rPr>
      <w:sz w:val="24"/>
      <w:szCs w:val="24"/>
    </w:rPr>
  </w:style>
  <w:style w:type="character" w:customStyle="1" w:styleId="podpisZnak">
    <w:name w:val="podpis Znak"/>
    <w:basedOn w:val="Domylnaczcionkaakapitu"/>
    <w:link w:val="podpis"/>
    <w:rsid w:val="004222F8"/>
    <w:rPr>
      <w:rFonts w:ascii="Titillium Web Light" w:hAnsi="Titillium Web Light" w:cs="Calibri"/>
      <w:b/>
      <w:bCs/>
      <w:color w:val="2F4D83" w:themeColor="accent1"/>
      <w:sz w:val="24"/>
      <w:szCs w:val="24"/>
    </w:rPr>
  </w:style>
  <w:style w:type="character" w:styleId="Pogrubienie">
    <w:name w:val="Strong"/>
    <w:basedOn w:val="Domylnaczcionkaakapitu"/>
    <w:uiPriority w:val="22"/>
    <w:qFormat/>
    <w:rsid w:val="003B6EA4"/>
    <w:rPr>
      <w:rFonts w:cs="Times New Roman"/>
      <w:b/>
      <w:bCs/>
    </w:rPr>
  </w:style>
  <w:style w:type="paragraph" w:styleId="Akapitzlist">
    <w:name w:val="List Paragraph"/>
    <w:basedOn w:val="Normalny"/>
    <w:uiPriority w:val="34"/>
    <w:qFormat/>
    <w:rsid w:val="003B6EA4"/>
    <w:pPr>
      <w:spacing w:line="276" w:lineRule="auto"/>
      <w:ind w:left="720"/>
      <w:contextualSpacing/>
    </w:pPr>
    <w:rPr>
      <w:rFonts w:ascii="Calibri" w:hAnsi="Calibri"/>
      <w:sz w:val="22"/>
    </w:rPr>
  </w:style>
  <w:style w:type="paragraph" w:customStyle="1" w:styleId="paragraph">
    <w:name w:val="paragraph"/>
    <w:basedOn w:val="Normalny"/>
    <w:rsid w:val="00D07B0D"/>
    <w:pPr>
      <w:spacing w:before="100" w:beforeAutospacing="1" w:after="100" w:afterAutospacing="1"/>
    </w:pPr>
  </w:style>
  <w:style w:type="character" w:customStyle="1" w:styleId="normaltextrun">
    <w:name w:val="normaltextrun"/>
    <w:rsid w:val="00D07B0D"/>
  </w:style>
  <w:style w:type="character" w:customStyle="1" w:styleId="eop">
    <w:name w:val="eop"/>
    <w:rsid w:val="00D07B0D"/>
  </w:style>
  <w:style w:type="character" w:customStyle="1" w:styleId="spellingerror">
    <w:name w:val="spellingerror"/>
    <w:rsid w:val="00D07B0D"/>
  </w:style>
  <w:style w:type="paragraph" w:customStyle="1" w:styleId="uwypuklenie">
    <w:name w:val="uwypuklenie"/>
    <w:basedOn w:val="Normalny"/>
    <w:link w:val="uwypuklenieZnak"/>
    <w:qFormat/>
    <w:rsid w:val="00274FBC"/>
    <w:pPr>
      <w:spacing w:before="100" w:beforeAutospacing="1"/>
      <w:jc w:val="center"/>
    </w:pPr>
    <w:rPr>
      <w:b/>
      <w:bCs/>
      <w:color w:val="2F4D83" w:themeColor="accent1"/>
      <w:sz w:val="28"/>
      <w:szCs w:val="28"/>
    </w:rPr>
  </w:style>
  <w:style w:type="character" w:customStyle="1" w:styleId="uwypuklenieZnak">
    <w:name w:val="uwypuklenie Znak"/>
    <w:basedOn w:val="Domylnaczcionkaakapitu"/>
    <w:link w:val="uwypuklenie"/>
    <w:rsid w:val="00274FBC"/>
    <w:rPr>
      <w:rFonts w:ascii="Titillium Web Light" w:hAnsi="Titillium Web Light" w:cs="Calibri"/>
      <w:b/>
      <w:bCs/>
      <w:color w:val="2F4D83" w:themeColor="accent1"/>
      <w:sz w:val="28"/>
      <w:szCs w:val="28"/>
    </w:rPr>
  </w:style>
  <w:style w:type="paragraph" w:customStyle="1" w:styleId="stopkawyrnienie">
    <w:name w:val="stopka wyróżnienie"/>
    <w:basedOn w:val="stopka0"/>
    <w:link w:val="stopkawyrnienieZnak"/>
    <w:qFormat/>
    <w:rsid w:val="00451C1B"/>
    <w:pPr>
      <w:framePr w:wrap="around"/>
    </w:pPr>
    <w:rPr>
      <w:color w:val="2F4D83" w:themeColor="accent1"/>
      <w:sz w:val="16"/>
    </w:rPr>
  </w:style>
  <w:style w:type="character" w:customStyle="1" w:styleId="stopkawyrnienieZnak">
    <w:name w:val="stopka wyróżnienie Znak"/>
    <w:basedOn w:val="stopkaZnak0"/>
    <w:link w:val="stopkawyrnienie"/>
    <w:rsid w:val="00451C1B"/>
    <w:rPr>
      <w:rFonts w:ascii="Titillium Web Light" w:eastAsia="Times New Roman" w:hAnsi="Titillium Web Light" w:cs="Times New Roman"/>
      <w:color w:val="2F4D83" w:themeColor="accent1"/>
      <w:sz w:val="16"/>
      <w:szCs w:val="16"/>
      <w:lang w:val="en-GB"/>
    </w:rPr>
  </w:style>
  <w:style w:type="character" w:styleId="Wyrnienieintensywne">
    <w:name w:val="Intense Emphasis"/>
    <w:uiPriority w:val="21"/>
    <w:qFormat/>
    <w:rsid w:val="002F71AD"/>
    <w:rPr>
      <w:b/>
      <w:bCs/>
      <w:i/>
      <w:iCs/>
      <w:color w:val="4F81BD"/>
    </w:rPr>
  </w:style>
  <w:style w:type="paragraph" w:customStyle="1" w:styleId="tabelkaopis">
    <w:name w:val="tabelka opis"/>
    <w:basedOn w:val="Bezodstpw"/>
    <w:link w:val="tabelkaopisZnak"/>
    <w:qFormat/>
    <w:rsid w:val="002F71AD"/>
    <w:rPr>
      <w:rFonts w:ascii="Titillium Web" w:hAnsi="Titillium Web"/>
      <w:smallCaps/>
      <w:sz w:val="16"/>
      <w:szCs w:val="16"/>
      <w:lang w:val="en-GB"/>
    </w:rPr>
  </w:style>
  <w:style w:type="character" w:customStyle="1" w:styleId="BezodstpwZnak">
    <w:name w:val="Bez odstępów Znak"/>
    <w:basedOn w:val="Domylnaczcionkaakapitu"/>
    <w:link w:val="Bezodstpw"/>
    <w:uiPriority w:val="1"/>
    <w:rsid w:val="002F71AD"/>
  </w:style>
  <w:style w:type="character" w:customStyle="1" w:styleId="tabelkaopisZnak">
    <w:name w:val="tabelka opis Znak"/>
    <w:basedOn w:val="BezodstpwZnak"/>
    <w:link w:val="tabelkaopis"/>
    <w:rsid w:val="002F71AD"/>
    <w:rPr>
      <w:rFonts w:ascii="Titillium Web" w:hAnsi="Titillium Web"/>
      <w:smallCaps/>
      <w:sz w:val="16"/>
      <w:szCs w:val="16"/>
      <w:lang w:val="en-GB"/>
    </w:rPr>
  </w:style>
  <w:style w:type="paragraph" w:customStyle="1" w:styleId="Tabelkatre">
    <w:name w:val="Tabelka treść"/>
    <w:basedOn w:val="Normalny"/>
    <w:link w:val="TabelkatreZnak"/>
    <w:qFormat/>
    <w:rsid w:val="002F71AD"/>
    <w:pPr>
      <w:ind w:right="-1384"/>
    </w:pPr>
    <w:rPr>
      <w:rFonts w:ascii="Titillium Web" w:hAnsi="Titillium Web"/>
      <w:sz w:val="20"/>
      <w:szCs w:val="20"/>
    </w:rPr>
  </w:style>
  <w:style w:type="character" w:customStyle="1" w:styleId="TabelkatreZnak">
    <w:name w:val="Tabelka treść Znak"/>
    <w:basedOn w:val="Domylnaczcionkaakapitu"/>
    <w:link w:val="Tabelkatre"/>
    <w:rsid w:val="002F71AD"/>
    <w:rPr>
      <w:rFonts w:ascii="Titillium Web" w:eastAsia="Times New Roman" w:hAnsi="Titillium Web" w:cs="Times New Roman"/>
      <w:sz w:val="20"/>
      <w:szCs w:val="20"/>
      <w:lang w:val="en-GB"/>
    </w:rPr>
  </w:style>
  <w:style w:type="character" w:customStyle="1" w:styleId="Nagwek1Znak">
    <w:name w:val="Nagłówek 1 Znak"/>
    <w:basedOn w:val="Domylnaczcionkaakapitu"/>
    <w:link w:val="Nagwek1"/>
    <w:rsid w:val="005E0CA4"/>
    <w:rPr>
      <w:rFonts w:asciiTheme="majorHAnsi" w:eastAsiaTheme="majorEastAsia" w:hAnsiTheme="majorHAnsi" w:cstheme="majorBidi"/>
      <w:color w:val="233961" w:themeColor="accent1" w:themeShade="BF"/>
      <w:sz w:val="32"/>
      <w:szCs w:val="32"/>
      <w:lang w:val="en-US"/>
    </w:rPr>
  </w:style>
  <w:style w:type="character" w:styleId="Uwydatnienie">
    <w:name w:val="Emphasis"/>
    <w:basedOn w:val="Domylnaczcionkaakapitu"/>
    <w:uiPriority w:val="20"/>
    <w:qFormat/>
    <w:rsid w:val="00FA5CAD"/>
    <w:rPr>
      <w:i/>
      <w:iCs/>
    </w:rPr>
  </w:style>
  <w:style w:type="paragraph" w:customStyle="1" w:styleId="TYTUDOKUMENTU">
    <w:name w:val="TYTUŁ DOKUMENTU"/>
    <w:basedOn w:val="Nagwek1"/>
    <w:link w:val="TYTUDOKUMENTUZnak"/>
    <w:qFormat/>
    <w:rsid w:val="00ED4602"/>
    <w:pPr>
      <w:jc w:val="center"/>
    </w:pPr>
    <w:rPr>
      <w:rFonts w:ascii="Raleway" w:hAnsi="Raleway"/>
    </w:rPr>
  </w:style>
  <w:style w:type="paragraph" w:customStyle="1" w:styleId="ADRESAT">
    <w:name w:val="ADRESAT"/>
    <w:basedOn w:val="TYTUDOKUMENTU"/>
    <w:link w:val="ADRESATZnak"/>
    <w:qFormat/>
    <w:rsid w:val="00ED4602"/>
    <w:pPr>
      <w:ind w:left="4536"/>
    </w:pPr>
    <w:rPr>
      <w:rFonts w:ascii="Titillium Web Light" w:hAnsi="Titillium Web Light"/>
    </w:rPr>
  </w:style>
  <w:style w:type="character" w:customStyle="1" w:styleId="TYTUDOKUMENTUZnak">
    <w:name w:val="TYTUŁ DOKUMENTU Znak"/>
    <w:basedOn w:val="Nagwek1Znak"/>
    <w:link w:val="TYTUDOKUMENTU"/>
    <w:rsid w:val="00ED4602"/>
    <w:rPr>
      <w:rFonts w:ascii="Raleway" w:eastAsiaTheme="majorEastAsia" w:hAnsi="Raleway" w:cstheme="majorBidi"/>
      <w:color w:val="233961" w:themeColor="accent1" w:themeShade="BF"/>
      <w:sz w:val="32"/>
      <w:szCs w:val="32"/>
      <w:lang w:val="en-US"/>
    </w:rPr>
  </w:style>
  <w:style w:type="paragraph" w:customStyle="1" w:styleId="Adresat0">
    <w:name w:val="Adresat"/>
    <w:basedOn w:val="ADRESAT"/>
    <w:link w:val="AdresatZnak0"/>
    <w:qFormat/>
    <w:rsid w:val="00ED4602"/>
    <w:pPr>
      <w:jc w:val="right"/>
    </w:pPr>
    <w:rPr>
      <w:color w:val="auto"/>
    </w:rPr>
  </w:style>
  <w:style w:type="character" w:customStyle="1" w:styleId="ADRESATZnak">
    <w:name w:val="ADRESAT Znak"/>
    <w:basedOn w:val="TYTUDOKUMENTUZnak"/>
    <w:link w:val="ADRESAT"/>
    <w:rsid w:val="00ED4602"/>
    <w:rPr>
      <w:rFonts w:ascii="Titillium Web Light" w:eastAsiaTheme="majorEastAsia" w:hAnsi="Titillium Web Light" w:cstheme="majorBidi"/>
      <w:color w:val="233961" w:themeColor="accent1" w:themeShade="BF"/>
      <w:sz w:val="32"/>
      <w:szCs w:val="32"/>
      <w:lang w:val="en-US"/>
    </w:rPr>
  </w:style>
  <w:style w:type="paragraph" w:customStyle="1" w:styleId="Pozdrowienie">
    <w:name w:val="Pozdrowienie"/>
    <w:basedOn w:val="ADRESAT"/>
    <w:link w:val="PozdrowienieZnak"/>
    <w:qFormat/>
    <w:rsid w:val="00ED4602"/>
    <w:pPr>
      <w:jc w:val="right"/>
    </w:pPr>
    <w:rPr>
      <w:sz w:val="24"/>
      <w:szCs w:val="24"/>
    </w:rPr>
  </w:style>
  <w:style w:type="character" w:customStyle="1" w:styleId="AdresatZnak0">
    <w:name w:val="Adresat Znak"/>
    <w:basedOn w:val="ADRESATZnak"/>
    <w:link w:val="Adresat0"/>
    <w:rsid w:val="00ED4602"/>
    <w:rPr>
      <w:rFonts w:ascii="Titillium Web Light" w:eastAsiaTheme="majorEastAsia" w:hAnsi="Titillium Web Light" w:cstheme="majorBidi"/>
      <w:color w:val="233961" w:themeColor="accent1" w:themeShade="BF"/>
      <w:sz w:val="32"/>
      <w:szCs w:val="32"/>
      <w:lang w:val="en-US"/>
    </w:rPr>
  </w:style>
  <w:style w:type="paragraph" w:customStyle="1" w:styleId="Podpislistu">
    <w:name w:val="Podpis listu"/>
    <w:basedOn w:val="Pozdrowienie"/>
    <w:link w:val="PodpislistuZnak"/>
    <w:qFormat/>
    <w:rsid w:val="00ED4602"/>
    <w:rPr>
      <w:sz w:val="28"/>
      <w:szCs w:val="28"/>
    </w:rPr>
  </w:style>
  <w:style w:type="character" w:customStyle="1" w:styleId="PozdrowienieZnak">
    <w:name w:val="Pozdrowienie Znak"/>
    <w:basedOn w:val="ADRESATZnak"/>
    <w:link w:val="Pozdrowienie"/>
    <w:rsid w:val="00ED4602"/>
    <w:rPr>
      <w:rFonts w:ascii="Titillium Web Light" w:eastAsiaTheme="majorEastAsia" w:hAnsi="Titillium Web Light" w:cstheme="majorBidi"/>
      <w:color w:val="233961" w:themeColor="accent1" w:themeShade="BF"/>
      <w:sz w:val="24"/>
      <w:szCs w:val="24"/>
      <w:lang w:val="en-US"/>
    </w:rPr>
  </w:style>
  <w:style w:type="character" w:customStyle="1" w:styleId="PodpislistuZnak">
    <w:name w:val="Podpis listu Znak"/>
    <w:basedOn w:val="PozdrowienieZnak"/>
    <w:link w:val="Podpislistu"/>
    <w:rsid w:val="00ED4602"/>
    <w:rPr>
      <w:rFonts w:ascii="Titillium Web Light" w:eastAsiaTheme="majorEastAsia" w:hAnsi="Titillium Web Light" w:cstheme="majorBidi"/>
      <w:color w:val="233961" w:themeColor="accent1" w:themeShade="BF"/>
      <w:sz w:val="28"/>
      <w:szCs w:val="28"/>
      <w:lang w:val="en-US"/>
    </w:rPr>
  </w:style>
  <w:style w:type="paragraph" w:styleId="Tekstdymka">
    <w:name w:val="Balloon Text"/>
    <w:basedOn w:val="Normalny"/>
    <w:link w:val="TekstdymkaZnak"/>
    <w:uiPriority w:val="99"/>
    <w:semiHidden/>
    <w:unhideWhenUsed/>
    <w:rsid w:val="00FE735D"/>
    <w:rPr>
      <w:rFonts w:ascii="Tahoma" w:hAnsi="Tahoma" w:cs="Tahoma"/>
      <w:sz w:val="16"/>
      <w:szCs w:val="16"/>
    </w:rPr>
  </w:style>
  <w:style w:type="character" w:customStyle="1" w:styleId="TekstdymkaZnak">
    <w:name w:val="Tekst dymka Znak"/>
    <w:basedOn w:val="Domylnaczcionkaakapitu"/>
    <w:link w:val="Tekstdymka"/>
    <w:uiPriority w:val="99"/>
    <w:semiHidden/>
    <w:rsid w:val="00FE735D"/>
    <w:rPr>
      <w:rFonts w:ascii="Tahoma" w:eastAsia="Times New Roman" w:hAnsi="Tahoma" w:cs="Tahoma"/>
      <w:sz w:val="16"/>
      <w:szCs w:val="16"/>
      <w:lang w:val="en-GB"/>
    </w:rPr>
  </w:style>
  <w:style w:type="paragraph" w:customStyle="1" w:styleId="Default">
    <w:name w:val="Default"/>
    <w:rsid w:val="00C76770"/>
    <w:pPr>
      <w:autoSpaceDE w:val="0"/>
      <w:autoSpaceDN w:val="0"/>
      <w:adjustRightInd w:val="0"/>
      <w:spacing w:after="0" w:line="240" w:lineRule="auto"/>
    </w:pPr>
    <w:rPr>
      <w:rFonts w:ascii="Arial" w:eastAsia="Times New Roman" w:hAnsi="Arial" w:cs="Arial"/>
      <w:color w:val="000000"/>
      <w:sz w:val="24"/>
      <w:szCs w:val="24"/>
      <w:lang w:eastAsia="pl-PL"/>
    </w:rPr>
  </w:style>
  <w:style w:type="paragraph" w:styleId="NormalnyWeb">
    <w:name w:val="Normal (Web)"/>
    <w:basedOn w:val="Normalny"/>
    <w:uiPriority w:val="99"/>
    <w:unhideWhenUsed/>
    <w:rsid w:val="00C7677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hyperlink" Target="mailto:office@etisoft.com.pl" TargetMode="External"/><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etisoft2020">
      <a:dk1>
        <a:sysClr val="windowText" lastClr="000000"/>
      </a:dk1>
      <a:lt1>
        <a:sysClr val="window" lastClr="FFFFFF"/>
      </a:lt1>
      <a:dk2>
        <a:srgbClr val="44546A"/>
      </a:dk2>
      <a:lt2>
        <a:srgbClr val="E7E6E6"/>
      </a:lt2>
      <a:accent1>
        <a:srgbClr val="2F4D83"/>
      </a:accent1>
      <a:accent2>
        <a:srgbClr val="4F8FCC"/>
      </a:accent2>
      <a:accent3>
        <a:srgbClr val="E3E3E3"/>
      </a:accent3>
      <a:accent4>
        <a:srgbClr val="9D9D9D"/>
      </a:accent4>
      <a:accent5>
        <a:srgbClr val="4DBDC6"/>
      </a:accent5>
      <a:accent6>
        <a:srgbClr val="CF66A4"/>
      </a:accent6>
      <a:hlink>
        <a:srgbClr val="FF0000"/>
      </a:hlink>
      <a:folHlink>
        <a:srgbClr val="4F8FCC"/>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53C3470750B04439F51299D73AB8510" ma:contentTypeVersion="10" ma:contentTypeDescription="Utwórz nowy dokument." ma:contentTypeScope="" ma:versionID="e7908e4dcedd8b03451dd28fc5b2c913">
  <xsd:schema xmlns:xsd="http://www.w3.org/2001/XMLSchema" xmlns:xs="http://www.w3.org/2001/XMLSchema" xmlns:p="http://schemas.microsoft.com/office/2006/metadata/properties" xmlns:ns2="5adbd236-faab-4a5e-af86-21856e49130e" targetNamespace="http://schemas.microsoft.com/office/2006/metadata/properties" ma:root="true" ma:fieldsID="6a32239475f4b94807e2a560fe5e62a5" ns2:_="">
    <xsd:import namespace="5adbd236-faab-4a5e-af86-21856e49130e"/>
    <xsd:element name="properties">
      <xsd:complexType>
        <xsd:sequence>
          <xsd:element name="documentManagement">
            <xsd:complexType>
              <xsd:all>
                <xsd:element ref="ns2:Inne"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Bran_x017c_a" minOccurs="0"/>
                <xsd:element ref="ns2:Produk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bd236-faab-4a5e-af86-21856e49130e" elementFormDefault="qualified">
    <xsd:import namespace="http://schemas.microsoft.com/office/2006/documentManagement/types"/>
    <xsd:import namespace="http://schemas.microsoft.com/office/infopath/2007/PartnerControls"/>
    <xsd:element name="Inne" ma:index="8" nillable="true" ma:displayName="Language" ma:default="EN" ma:internalName="Inne">
      <xsd:complexType>
        <xsd:complexContent>
          <xsd:extension base="dms:MultiChoice">
            <xsd:sequence>
              <xsd:element name="Value" maxOccurs="unbounded" minOccurs="0" nillable="true">
                <xsd:simpleType>
                  <xsd:restriction base="dms:Choice">
                    <xsd:enumeration value="PL"/>
                    <xsd:enumeration value="EN"/>
                    <xsd:enumeration value="OTHER"/>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Bran_x017c_a" ma:index="16" nillable="true" ma:displayName="Branch" ma:default="AUTOMOTIVE" ma:format="Dropdown" ma:internalName="Bran_x017c_a">
      <xsd:simpleType>
        <xsd:restriction base="dms:Choice">
          <xsd:enumeration value="AUTOMOTIVE"/>
          <xsd:enumeration value="ELECTRONIC"/>
          <xsd:enumeration value="HOUSEHOLD GOODS"/>
          <xsd:enumeration value="ELECTRICAL"/>
          <xsd:enumeration value="CONSTRUCTION"/>
          <xsd:enumeration value="FURNITURE"/>
          <xsd:enumeration value="MEDICAL"/>
          <xsd:enumeration value="CHEMICAL"/>
          <xsd:enumeration value="PHARMACEUTICAL AND COSMETICS"/>
          <xsd:enumeration value="FMCG"/>
          <xsd:enumeration value="TEXTILE"/>
          <xsd:enumeration value="GARDENING"/>
          <xsd:enumeration value="ELECTROMECHANICAL"/>
          <xsd:enumeration value="PLASTIC"/>
          <xsd:enumeration value="STEEL"/>
          <xsd:enumeration value="SERVICES"/>
          <xsd:enumeration value="OTHER"/>
        </xsd:restriction>
      </xsd:simpleType>
    </xsd:element>
    <xsd:element name="Produkt" ma:index="17" nillable="true" ma:displayName="Product" ma:default="CITIZEN" ma:format="Dropdown" ma:internalName="Produkt">
      <xsd:simpleType>
        <xsd:restriction base="dms:Choice">
          <xsd:enumeration value="CITIZEN"/>
          <xsd:enumeration value="ETICALLS"/>
          <xsd:enumeration value="ETICLIPS"/>
          <xsd:enumeration value="RIBBONS"/>
          <xsd:enumeration value="HARDWARE"/>
          <xsd:enumeration value="SMART SOLUTIONS"/>
          <xsd:enumeration value="RFID"/>
          <xsd:enumeration value="SOFTWAR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ne xmlns="5adbd236-faab-4a5e-af86-21856e49130e">
      <Value>EN</Value>
    </Inne>
    <Produkt xmlns="5adbd236-faab-4a5e-af86-21856e49130e">CITIZEN</Produkt>
    <Bran_x017c_a xmlns="5adbd236-faab-4a5e-af86-21856e49130e">AUTOMOTIVE</Bran_x017c_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1A93B-F668-45E7-A479-88459989C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bd236-faab-4a5e-af86-21856e491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0C2A2B-29E5-4B98-B2B3-73048EA23984}">
  <ds:schemaRefs>
    <ds:schemaRef ds:uri="http://schemas.microsoft.com/sharepoint/v3/contenttype/forms"/>
  </ds:schemaRefs>
</ds:datastoreItem>
</file>

<file path=customXml/itemProps3.xml><?xml version="1.0" encoding="utf-8"?>
<ds:datastoreItem xmlns:ds="http://schemas.openxmlformats.org/officeDocument/2006/customXml" ds:itemID="{944E8D1F-3576-4CD8-8E5B-407DBBF5CF11}">
  <ds:schemaRefs>
    <ds:schemaRef ds:uri="http://schemas.microsoft.com/office/2006/metadata/properties"/>
    <ds:schemaRef ds:uri="http://schemas.microsoft.com/office/infopath/2007/PartnerControls"/>
    <ds:schemaRef ds:uri="5adbd236-faab-4a5e-af86-21856e49130e"/>
  </ds:schemaRefs>
</ds:datastoreItem>
</file>

<file path=customXml/itemProps4.xml><?xml version="1.0" encoding="utf-8"?>
<ds:datastoreItem xmlns:ds="http://schemas.openxmlformats.org/officeDocument/2006/customXml" ds:itemID="{9060A61D-3E41-4405-8E77-61299B974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10</Pages>
  <Words>3380</Words>
  <Characters>20281</Characters>
  <Application>Microsoft Office Word</Application>
  <DocSecurity>0</DocSecurity>
  <Lines>169</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O.</dc:creator>
  <cp:lastModifiedBy>Katarzyna O.</cp:lastModifiedBy>
  <cp:revision>21</cp:revision>
  <cp:lastPrinted>2021-02-26T13:16:00Z</cp:lastPrinted>
  <dcterms:created xsi:type="dcterms:W3CDTF">2023-02-17T10:11:00Z</dcterms:created>
  <dcterms:modified xsi:type="dcterms:W3CDTF">2023-02-21T12:37:00Z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0x010100553C3470750B04439F51299D73AB8510</vt:lpwstr>
  </property>
</Properties>
</file>