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="00D33C89">
        <w:rPr>
          <w:rFonts w:ascii="Titillium Web Light" w:hAnsi="Titillium Web Light"/>
          <w:sz w:val="22"/>
          <w:szCs w:val="22"/>
        </w:rPr>
        <w:t>2023-05-24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E165DF" w:rsidRDefault="00D33C89" w:rsidP="00AC3ADF">
      <w:pPr>
        <w:ind w:left="5664"/>
        <w:jc w:val="both"/>
        <w:outlineLvl w:val="0"/>
        <w:rPr>
          <w:rFonts w:ascii="Titillium Web Light" w:hAnsi="Titillium Web Light" w:cs="Arial"/>
          <w:b/>
          <w:sz w:val="22"/>
          <w:szCs w:val="22"/>
        </w:rPr>
      </w:pPr>
      <w:r w:rsidRPr="00E165DF">
        <w:rPr>
          <w:rFonts w:ascii="Titillium Web Light" w:hAnsi="Titillium Web Light" w:cs="Arial"/>
          <w:b/>
          <w:sz w:val="22"/>
          <w:szCs w:val="22"/>
        </w:rPr>
        <w:t>płk mgr inż. Tomasz Stefański</w:t>
      </w:r>
    </w:p>
    <w:p w:rsidR="00AC3ADF" w:rsidRPr="00E165DF" w:rsidRDefault="0055555B" w:rsidP="00AC3ADF">
      <w:pPr>
        <w:ind w:left="5664"/>
        <w:jc w:val="both"/>
        <w:outlineLvl w:val="0"/>
        <w:rPr>
          <w:rFonts w:ascii="Titillium Web Light" w:hAnsi="Titillium Web Light" w:cs="Arial"/>
          <w:b/>
          <w:sz w:val="22"/>
          <w:szCs w:val="22"/>
        </w:rPr>
      </w:pPr>
      <w:r w:rsidRPr="00E165DF">
        <w:rPr>
          <w:rFonts w:ascii="Titillium Web Light" w:hAnsi="Titillium Web Light" w:cs="Arial"/>
          <w:b/>
          <w:sz w:val="22"/>
          <w:szCs w:val="22"/>
        </w:rPr>
        <w:t>Dyrektor</w:t>
      </w:r>
    </w:p>
    <w:p w:rsidR="00CC5D7F" w:rsidRPr="00E165DF" w:rsidRDefault="00D33C89" w:rsidP="00AC3ADF">
      <w:pPr>
        <w:ind w:left="5664"/>
        <w:jc w:val="both"/>
        <w:outlineLvl w:val="0"/>
        <w:rPr>
          <w:rFonts w:ascii="Titillium Web Light" w:hAnsi="Titillium Web Light" w:cs="Arial"/>
          <w:b/>
          <w:sz w:val="22"/>
          <w:szCs w:val="22"/>
        </w:rPr>
      </w:pPr>
      <w:proofErr w:type="spellStart"/>
      <w:r w:rsidRPr="00E165DF">
        <w:rPr>
          <w:rFonts w:ascii="Titillium Web Light" w:hAnsi="Titillium Web Light" w:cs="Arial"/>
          <w:b/>
          <w:sz w:val="22"/>
          <w:szCs w:val="22"/>
        </w:rPr>
        <w:t>WCKiK</w:t>
      </w:r>
      <w:proofErr w:type="spellEnd"/>
      <w:r w:rsidRPr="00E165DF">
        <w:rPr>
          <w:rFonts w:ascii="Titillium Web Light" w:hAnsi="Titillium Web Light" w:cs="Arial"/>
          <w:b/>
          <w:sz w:val="22"/>
          <w:szCs w:val="22"/>
        </w:rPr>
        <w:t xml:space="preserve"> SP ZOZ </w:t>
      </w:r>
      <w:r w:rsidR="00CC5D7F" w:rsidRPr="00E165DF">
        <w:rPr>
          <w:rFonts w:ascii="Titillium Web Light" w:hAnsi="Titillium Web Light" w:cs="Arial"/>
          <w:b/>
          <w:sz w:val="22"/>
          <w:szCs w:val="22"/>
        </w:rPr>
        <w:t xml:space="preserve">w </w:t>
      </w:r>
      <w:r w:rsidRPr="00E165DF">
        <w:rPr>
          <w:rFonts w:ascii="Titillium Web Light" w:hAnsi="Titillium Web Light" w:cs="Arial"/>
          <w:b/>
          <w:sz w:val="22"/>
          <w:szCs w:val="22"/>
        </w:rPr>
        <w:t>Warszawie</w:t>
      </w:r>
    </w:p>
    <w:p w:rsidR="00CC5D7F" w:rsidRPr="00E165D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  <w:sz w:val="22"/>
          <w:szCs w:val="22"/>
        </w:rPr>
      </w:pPr>
      <w:r w:rsidRPr="00E165DF">
        <w:rPr>
          <w:rFonts w:ascii="Titillium Web Light" w:hAnsi="Titillium Web Light" w:cs="Arial"/>
          <w:b/>
          <w:sz w:val="22"/>
          <w:szCs w:val="22"/>
        </w:rPr>
        <w:t xml:space="preserve">Ul. </w:t>
      </w:r>
      <w:r w:rsidR="00D33C89" w:rsidRPr="00E165DF">
        <w:rPr>
          <w:rFonts w:ascii="Titillium Web Light" w:hAnsi="Titillium Web Light" w:cs="Arial"/>
          <w:b/>
          <w:sz w:val="22"/>
          <w:szCs w:val="22"/>
        </w:rPr>
        <w:t>Koszykarska 78</w:t>
      </w:r>
    </w:p>
    <w:p w:rsidR="00AC3ADF" w:rsidRPr="00E165DF" w:rsidRDefault="00AC3ADF" w:rsidP="00AC3ADF">
      <w:pPr>
        <w:jc w:val="both"/>
        <w:outlineLvl w:val="0"/>
        <w:rPr>
          <w:rFonts w:ascii="Titillium Web Light" w:hAnsi="Titillium Web Light"/>
          <w:b/>
          <w:sz w:val="22"/>
          <w:szCs w:val="22"/>
        </w:rPr>
      </w:pPr>
    </w:p>
    <w:p w:rsidR="00AC3ADF" w:rsidRPr="00E165DF" w:rsidRDefault="00AC3ADF" w:rsidP="00AC3ADF">
      <w:pPr>
        <w:jc w:val="both"/>
        <w:outlineLvl w:val="0"/>
        <w:rPr>
          <w:rFonts w:ascii="Titillium Web Light" w:hAnsi="Titillium Web Light"/>
          <w:b/>
          <w:sz w:val="22"/>
          <w:szCs w:val="22"/>
        </w:rPr>
      </w:pPr>
    </w:p>
    <w:p w:rsidR="00AC3ADF" w:rsidRPr="00E165DF" w:rsidRDefault="00CC5D7F" w:rsidP="00AC3ADF">
      <w:pPr>
        <w:jc w:val="both"/>
        <w:outlineLvl w:val="0"/>
        <w:rPr>
          <w:rFonts w:ascii="Titillium Web Light" w:hAnsi="Titillium Web Light"/>
          <w:sz w:val="22"/>
          <w:szCs w:val="22"/>
        </w:rPr>
      </w:pPr>
      <w:r w:rsidRPr="00E165DF">
        <w:rPr>
          <w:rFonts w:ascii="Titillium Web Light" w:hAnsi="Titillium Web Light"/>
          <w:sz w:val="22"/>
          <w:szCs w:val="22"/>
        </w:rPr>
        <w:t xml:space="preserve">dotyczy: </w:t>
      </w:r>
      <w:r w:rsidR="0055555B" w:rsidRPr="00E165DF">
        <w:rPr>
          <w:rFonts w:ascii="Titillium Web Light" w:hAnsi="Titillium Web Light"/>
          <w:b/>
          <w:sz w:val="22"/>
          <w:szCs w:val="22"/>
        </w:rPr>
        <w:t>u</w:t>
      </w:r>
      <w:r w:rsidRPr="00E165DF">
        <w:rPr>
          <w:rFonts w:ascii="Titillium Web Light" w:hAnsi="Titillium Web Light"/>
          <w:b/>
          <w:sz w:val="22"/>
          <w:szCs w:val="22"/>
        </w:rPr>
        <w:t>mow</w:t>
      </w:r>
      <w:r w:rsidR="0055555B" w:rsidRPr="00E165DF">
        <w:rPr>
          <w:rFonts w:ascii="Titillium Web Light" w:hAnsi="Titillium Web Light"/>
          <w:b/>
          <w:sz w:val="22"/>
          <w:szCs w:val="22"/>
        </w:rPr>
        <w:t>y</w:t>
      </w:r>
      <w:r w:rsidRPr="00E165DF">
        <w:rPr>
          <w:rFonts w:ascii="Titillium Web Light" w:hAnsi="Titillium Web Light"/>
          <w:b/>
          <w:sz w:val="22"/>
          <w:szCs w:val="22"/>
        </w:rPr>
        <w:t xml:space="preserve"> zawart</w:t>
      </w:r>
      <w:r w:rsidR="0055555B" w:rsidRPr="00E165DF">
        <w:rPr>
          <w:rFonts w:ascii="Titillium Web Light" w:hAnsi="Titillium Web Light"/>
          <w:b/>
          <w:sz w:val="22"/>
          <w:szCs w:val="22"/>
        </w:rPr>
        <w:t>ej</w:t>
      </w:r>
      <w:r w:rsidRPr="00E165DF">
        <w:rPr>
          <w:rFonts w:ascii="Titillium Web Light" w:hAnsi="Titillium Web Light"/>
          <w:b/>
          <w:sz w:val="22"/>
          <w:szCs w:val="22"/>
        </w:rPr>
        <w:t xml:space="preserve"> w dniu </w:t>
      </w:r>
      <w:r w:rsidR="00D33C89" w:rsidRPr="00E165DF">
        <w:rPr>
          <w:rFonts w:ascii="Titillium Web Light" w:hAnsi="Titillium Web Light"/>
          <w:b/>
          <w:sz w:val="22"/>
          <w:szCs w:val="22"/>
        </w:rPr>
        <w:t>07.12.2021</w:t>
      </w:r>
      <w:r w:rsidRPr="00E165DF">
        <w:rPr>
          <w:rFonts w:ascii="Titillium Web Light" w:hAnsi="Titillium Web Light"/>
          <w:b/>
          <w:sz w:val="22"/>
          <w:szCs w:val="22"/>
        </w:rPr>
        <w:t xml:space="preserve">r. nr </w:t>
      </w:r>
      <w:r w:rsidR="00D33C89" w:rsidRPr="00E165DF">
        <w:rPr>
          <w:rFonts w:ascii="Titillium Web Light" w:hAnsi="Titillium Web Light"/>
          <w:b/>
          <w:sz w:val="22"/>
          <w:szCs w:val="22"/>
        </w:rPr>
        <w:t>rej. 216/2021/Z</w:t>
      </w:r>
    </w:p>
    <w:p w:rsidR="00CC5D7F" w:rsidRPr="00E165DF" w:rsidRDefault="00CC5D7F" w:rsidP="00AC3ADF">
      <w:pPr>
        <w:jc w:val="both"/>
        <w:outlineLvl w:val="0"/>
        <w:rPr>
          <w:rFonts w:ascii="Titillium Web Light" w:hAnsi="Titillium Web Light"/>
          <w:sz w:val="22"/>
          <w:szCs w:val="22"/>
        </w:rPr>
      </w:pPr>
    </w:p>
    <w:p w:rsidR="00CC5D7F" w:rsidRPr="00E165DF" w:rsidRDefault="00D33C89" w:rsidP="00162102">
      <w:pPr>
        <w:jc w:val="center"/>
        <w:outlineLvl w:val="0"/>
        <w:rPr>
          <w:rFonts w:ascii="Titillium Web Light" w:hAnsi="Titillium Web Light"/>
          <w:b/>
          <w:sz w:val="22"/>
          <w:szCs w:val="22"/>
        </w:rPr>
      </w:pPr>
      <w:r w:rsidRPr="00E165DF">
        <w:rPr>
          <w:rFonts w:ascii="Titillium Web Light" w:hAnsi="Titillium Web Light"/>
          <w:b/>
          <w:sz w:val="22"/>
          <w:szCs w:val="22"/>
        </w:rPr>
        <w:t xml:space="preserve">Wniosek </w:t>
      </w:r>
      <w:r w:rsidR="007348BD">
        <w:rPr>
          <w:rFonts w:ascii="Titillium Web Light" w:hAnsi="Titillium Web Light"/>
          <w:b/>
          <w:sz w:val="22"/>
          <w:szCs w:val="22"/>
        </w:rPr>
        <w:t>w</w:t>
      </w:r>
      <w:r w:rsidRPr="00E165DF">
        <w:rPr>
          <w:rFonts w:ascii="Titillium Web Light" w:hAnsi="Titillium Web Light"/>
          <w:b/>
          <w:sz w:val="22"/>
          <w:szCs w:val="22"/>
        </w:rPr>
        <w:t>ykonawcy</w:t>
      </w:r>
    </w:p>
    <w:p w:rsidR="00162102" w:rsidRPr="00E165DF" w:rsidRDefault="00D33C89" w:rsidP="00162102">
      <w:pPr>
        <w:pStyle w:val="Nagwek2"/>
        <w:jc w:val="both"/>
        <w:rPr>
          <w:sz w:val="22"/>
          <w:szCs w:val="22"/>
        </w:rPr>
      </w:pPr>
      <w:r w:rsidRPr="00E165DF">
        <w:rPr>
          <w:sz w:val="22"/>
          <w:szCs w:val="22"/>
        </w:rPr>
        <w:tab/>
      </w:r>
    </w:p>
    <w:p w:rsidR="00D33C89" w:rsidRPr="00E165DF" w:rsidRDefault="00D33C89" w:rsidP="00E165DF">
      <w:pPr>
        <w:pStyle w:val="Nagwek2"/>
        <w:ind w:firstLine="708"/>
        <w:jc w:val="both"/>
        <w:rPr>
          <w:rFonts w:ascii="Titillium Web Light" w:hAnsi="Titillium Web Light"/>
          <w:color w:val="auto"/>
          <w:sz w:val="22"/>
          <w:szCs w:val="22"/>
        </w:rPr>
      </w:pPr>
      <w:r w:rsidRPr="00E165DF">
        <w:rPr>
          <w:rFonts w:ascii="Titillium Web Light" w:hAnsi="Titillium Web Light"/>
          <w:color w:val="auto"/>
          <w:sz w:val="22"/>
          <w:szCs w:val="22"/>
        </w:rPr>
        <w:t xml:space="preserve">Działając na podstawie par. 12 pkt. 2 umowy z dnia </w:t>
      </w:r>
      <w:r w:rsidR="00162102" w:rsidRPr="00E165DF">
        <w:rPr>
          <w:rFonts w:ascii="Titillium Web Light" w:hAnsi="Titillium Web Light"/>
          <w:color w:val="auto"/>
          <w:sz w:val="22"/>
          <w:szCs w:val="22"/>
        </w:rPr>
        <w:t>07.12.2021r. wnioskujemy o </w:t>
      </w:r>
      <w:r w:rsidRPr="00E165DF">
        <w:rPr>
          <w:rFonts w:ascii="Titillium Web Light" w:hAnsi="Titillium Web Light"/>
          <w:color w:val="auto"/>
          <w:sz w:val="22"/>
          <w:szCs w:val="22"/>
        </w:rPr>
        <w:t>wprowadzeni</w:t>
      </w:r>
      <w:r w:rsidR="007348BD">
        <w:rPr>
          <w:rFonts w:ascii="Titillium Web Light" w:hAnsi="Titillium Web Light"/>
          <w:color w:val="auto"/>
          <w:sz w:val="22"/>
          <w:szCs w:val="22"/>
        </w:rPr>
        <w:t>e</w:t>
      </w:r>
      <w:r w:rsidR="00162102" w:rsidRPr="00E165DF">
        <w:rPr>
          <w:rFonts w:ascii="Titillium Web Light" w:hAnsi="Titillium Web Light"/>
          <w:color w:val="auto"/>
          <w:sz w:val="22"/>
          <w:szCs w:val="22"/>
        </w:rPr>
        <w:t xml:space="preserve"> zmian w umowie w części dotyczącej wynagrodzenia wykonawcy.</w:t>
      </w:r>
    </w:p>
    <w:p w:rsidR="00162102" w:rsidRPr="00E165DF" w:rsidRDefault="00162102" w:rsidP="00162102">
      <w:pPr>
        <w:rPr>
          <w:rFonts w:ascii="Titillium Web Light" w:hAnsi="Titillium Web Light" w:cstheme="majorHAnsi"/>
          <w:sz w:val="22"/>
          <w:szCs w:val="22"/>
        </w:rPr>
      </w:pPr>
      <w:r w:rsidRPr="00E165DF">
        <w:rPr>
          <w:rFonts w:ascii="Titillium Web Light" w:hAnsi="Titillium Web Light" w:cstheme="majorHAnsi"/>
          <w:sz w:val="22"/>
          <w:szCs w:val="22"/>
        </w:rPr>
        <w:t>Opis propozycji zmian zawiera załącznik do niniejszego pisma.</w:t>
      </w:r>
    </w:p>
    <w:p w:rsidR="00162102" w:rsidRPr="00E165DF" w:rsidRDefault="00162102" w:rsidP="00162102">
      <w:pPr>
        <w:jc w:val="both"/>
        <w:rPr>
          <w:rFonts w:ascii="Titillium Web Light" w:hAnsi="Titillium Web Light"/>
          <w:sz w:val="22"/>
          <w:szCs w:val="22"/>
        </w:rPr>
      </w:pPr>
      <w:r w:rsidRPr="00E165DF">
        <w:rPr>
          <w:rFonts w:ascii="Titillium Web Light" w:hAnsi="Titillium Web Light" w:cstheme="majorHAnsi"/>
          <w:sz w:val="22"/>
          <w:szCs w:val="22"/>
        </w:rPr>
        <w:t xml:space="preserve">Uzasadnienie zmian wraz z wpływem </w:t>
      </w:r>
      <w:r w:rsidR="00CC7B7E" w:rsidRPr="00E165DF">
        <w:rPr>
          <w:rFonts w:ascii="Titillium Web Light" w:hAnsi="Titillium Web Light" w:cstheme="majorHAnsi"/>
          <w:sz w:val="22"/>
          <w:szCs w:val="22"/>
        </w:rPr>
        <w:t xml:space="preserve">wzrostu </w:t>
      </w:r>
      <w:r w:rsidRPr="00E165DF">
        <w:rPr>
          <w:rFonts w:ascii="Titillium Web Light" w:hAnsi="Titillium Web Light" w:cstheme="majorHAnsi"/>
          <w:sz w:val="22"/>
          <w:szCs w:val="22"/>
        </w:rPr>
        <w:t>kosztów na cenę etykiet donacyjnych</w:t>
      </w:r>
      <w:r w:rsidR="00CC7B7E" w:rsidRPr="00E165DF">
        <w:rPr>
          <w:rFonts w:ascii="Titillium Web Light" w:hAnsi="Titillium Web Light" w:cstheme="majorHAnsi"/>
          <w:sz w:val="22"/>
          <w:szCs w:val="22"/>
        </w:rPr>
        <w:t xml:space="preserve"> z kodem kreskowym</w:t>
      </w:r>
      <w:r w:rsidRPr="00E165DF">
        <w:rPr>
          <w:rFonts w:ascii="Titillium Web Light" w:hAnsi="Titillium Web Light" w:cstheme="majorHAnsi"/>
          <w:sz w:val="22"/>
          <w:szCs w:val="22"/>
        </w:rPr>
        <w:t xml:space="preserve">: </w:t>
      </w:r>
      <w:r w:rsidR="00A31DD4" w:rsidRPr="00E165DF">
        <w:rPr>
          <w:rFonts w:ascii="Titillium Web Light" w:hAnsi="Titillium Web Light"/>
          <w:sz w:val="22"/>
          <w:szCs w:val="22"/>
        </w:rPr>
        <w:t xml:space="preserve">Od czasu podpisania </w:t>
      </w:r>
      <w:r w:rsidR="00BC73DE" w:rsidRPr="00E165DF">
        <w:rPr>
          <w:rFonts w:ascii="Titillium Web Light" w:hAnsi="Titillium Web Light"/>
          <w:sz w:val="22"/>
          <w:szCs w:val="22"/>
        </w:rPr>
        <w:t xml:space="preserve">ww. </w:t>
      </w:r>
      <w:r w:rsidR="00A31DD4" w:rsidRPr="00E165DF">
        <w:rPr>
          <w:rFonts w:ascii="Titillium Web Light" w:hAnsi="Titillium Web Light"/>
          <w:sz w:val="22"/>
          <w:szCs w:val="22"/>
        </w:rPr>
        <w:t xml:space="preserve">umowy na dostawę </w:t>
      </w:r>
      <w:r w:rsidRPr="00E165DF">
        <w:rPr>
          <w:rFonts w:ascii="Titillium Web Light" w:hAnsi="Titillium Web Light"/>
          <w:sz w:val="22"/>
          <w:szCs w:val="22"/>
        </w:rPr>
        <w:t xml:space="preserve">etykiet donacyjnych </w:t>
      </w:r>
      <w:r w:rsidR="00CC7B7E" w:rsidRPr="00E165DF">
        <w:rPr>
          <w:rFonts w:ascii="Titillium Web Light" w:hAnsi="Titillium Web Light"/>
          <w:sz w:val="22"/>
          <w:szCs w:val="22"/>
        </w:rPr>
        <w:t>nasza branża jak i </w:t>
      </w:r>
      <w:r w:rsidR="00A31DD4" w:rsidRPr="00E165DF">
        <w:rPr>
          <w:rFonts w:ascii="Titillium Web Light" w:hAnsi="Titillium Web Light"/>
          <w:sz w:val="22"/>
          <w:szCs w:val="22"/>
        </w:rPr>
        <w:t xml:space="preserve">wiele firm produkcyjnych boryka się z wieloma niezależnymi od nas czynnikami, </w:t>
      </w:r>
      <w:r w:rsidR="009C0015" w:rsidRPr="00E165DF">
        <w:rPr>
          <w:rFonts w:ascii="Titillium Web Light" w:hAnsi="Titillium Web Light"/>
          <w:sz w:val="22"/>
          <w:szCs w:val="22"/>
        </w:rPr>
        <w:t>mającymi</w:t>
      </w:r>
      <w:r w:rsidR="00A31DD4" w:rsidRPr="00E165DF">
        <w:rPr>
          <w:rFonts w:ascii="Titillium Web Light" w:hAnsi="Titillium Web Light"/>
          <w:sz w:val="22"/>
          <w:szCs w:val="22"/>
        </w:rPr>
        <w:t xml:space="preserve"> znaczący wpływ na ostateczną cenę produktu</w:t>
      </w:r>
      <w:r w:rsidR="00BC73DE" w:rsidRPr="00E165DF">
        <w:rPr>
          <w:rFonts w:ascii="Titillium Web Light" w:hAnsi="Titillium Web Light"/>
          <w:sz w:val="22"/>
          <w:szCs w:val="22"/>
        </w:rPr>
        <w:t xml:space="preserve">. </w:t>
      </w:r>
      <w:r w:rsidR="00CC7B7E" w:rsidRPr="00E165DF">
        <w:rPr>
          <w:rFonts w:ascii="Titillium Web Light" w:hAnsi="Titillium Web Light"/>
          <w:sz w:val="22"/>
          <w:szCs w:val="22"/>
        </w:rPr>
        <w:t xml:space="preserve">Wszystkie elementy składowe kosztu dostawy przedmiotu umowy </w:t>
      </w:r>
      <w:r w:rsidR="00BC73DE" w:rsidRPr="00E165DF">
        <w:rPr>
          <w:rFonts w:ascii="Titillium Web Light" w:hAnsi="Titillium Web Light"/>
          <w:sz w:val="22"/>
          <w:szCs w:val="22"/>
        </w:rPr>
        <w:t>wzrosły znacząco już kilkakrotnie. W przypadku etykiet foliowych, głównym czynnikiem wzrostu cen surowca jest wzrost cen składników chemicznych stosowanych w produkcj</w:t>
      </w:r>
      <w:r w:rsidR="006D36E1" w:rsidRPr="00E165DF">
        <w:rPr>
          <w:rFonts w:ascii="Titillium Web Light" w:hAnsi="Titillium Web Light"/>
          <w:sz w:val="22"/>
          <w:szCs w:val="22"/>
        </w:rPr>
        <w:t>i materiałów wierzchnich, jak i </w:t>
      </w:r>
      <w:r w:rsidR="00BC73DE" w:rsidRPr="00E165DF">
        <w:rPr>
          <w:rFonts w:ascii="Titillium Web Light" w:hAnsi="Titillium Web Light"/>
          <w:sz w:val="22"/>
          <w:szCs w:val="22"/>
        </w:rPr>
        <w:t>nośników</w:t>
      </w:r>
      <w:r w:rsidR="009C0015" w:rsidRPr="00E165DF">
        <w:rPr>
          <w:rFonts w:ascii="Titillium Web Light" w:hAnsi="Titillium Web Light"/>
          <w:sz w:val="22"/>
          <w:szCs w:val="22"/>
        </w:rPr>
        <w:t xml:space="preserve"> oraz kleju</w:t>
      </w:r>
      <w:r w:rsidR="00CC7B7E" w:rsidRPr="00E165DF">
        <w:rPr>
          <w:rFonts w:ascii="Titillium Web Light" w:hAnsi="Titillium Web Light"/>
          <w:sz w:val="22"/>
          <w:szCs w:val="22"/>
        </w:rPr>
        <w:t xml:space="preserve"> (wzrost </w:t>
      </w:r>
      <w:r w:rsidR="00CC7B7E" w:rsidRPr="00E165DF">
        <w:rPr>
          <w:rFonts w:ascii="Titillium Web Light" w:hAnsi="Titillium Web Light"/>
          <w:sz w:val="22"/>
          <w:szCs w:val="22"/>
          <w:highlight w:val="yellow"/>
        </w:rPr>
        <w:t>..</w:t>
      </w:r>
      <w:r w:rsidR="00CC7B7E" w:rsidRPr="00E165DF">
        <w:rPr>
          <w:rFonts w:ascii="Titillium Web Light" w:hAnsi="Titillium Web Light"/>
          <w:sz w:val="22"/>
          <w:szCs w:val="22"/>
        </w:rPr>
        <w:t xml:space="preserve">%). Również cena kalki barwiącej stosowanej w druku etykiet donacyjnych wzrosła od grudnia 2021 o </w:t>
      </w:r>
      <w:r w:rsidR="00CC7B7E" w:rsidRPr="00E165DF">
        <w:rPr>
          <w:rFonts w:ascii="Titillium Web Light" w:hAnsi="Titillium Web Light"/>
          <w:sz w:val="22"/>
          <w:szCs w:val="22"/>
          <w:highlight w:val="yellow"/>
        </w:rPr>
        <w:t>..</w:t>
      </w:r>
      <w:r w:rsidR="00CC7B7E" w:rsidRPr="00E165DF">
        <w:rPr>
          <w:rFonts w:ascii="Titillium Web Light" w:hAnsi="Titillium Web Light"/>
          <w:sz w:val="22"/>
          <w:szCs w:val="22"/>
        </w:rPr>
        <w:t>%. Pozostałe składowe kosztu produkcji etykiet, takie jak koszty energii oraz logistyki, koszty wynagrodzeń i narzutów na nie wzrosły o 39%.</w:t>
      </w:r>
    </w:p>
    <w:p w:rsidR="00AC3ADF" w:rsidRPr="00E165DF" w:rsidRDefault="00A44B66" w:rsidP="00162102">
      <w:pPr>
        <w:jc w:val="both"/>
        <w:rPr>
          <w:rFonts w:ascii="Titillium Web Light" w:hAnsi="Titillium Web Light"/>
          <w:sz w:val="22"/>
          <w:szCs w:val="22"/>
        </w:rPr>
      </w:pPr>
      <w:r w:rsidRPr="00E165DF">
        <w:rPr>
          <w:rFonts w:ascii="Titillium Web Light" w:hAnsi="Titillium Web Light"/>
          <w:sz w:val="22"/>
          <w:szCs w:val="22"/>
        </w:rPr>
        <w:t>Obecnie</w:t>
      </w:r>
      <w:r w:rsidR="00BC73DE" w:rsidRPr="00E165DF">
        <w:rPr>
          <w:rFonts w:ascii="Titillium Web Light" w:hAnsi="Titillium Web Light"/>
          <w:sz w:val="22"/>
          <w:szCs w:val="22"/>
        </w:rPr>
        <w:t xml:space="preserve"> </w:t>
      </w:r>
      <w:r w:rsidRPr="00E165DF">
        <w:rPr>
          <w:rFonts w:ascii="Titillium Web Light" w:hAnsi="Titillium Web Light"/>
          <w:sz w:val="22"/>
          <w:szCs w:val="22"/>
        </w:rPr>
        <w:t xml:space="preserve">ceny wytworzenia towaru </w:t>
      </w:r>
      <w:r w:rsidR="009C0015" w:rsidRPr="00E165DF">
        <w:rPr>
          <w:rFonts w:ascii="Titillium Web Light" w:hAnsi="Titillium Web Light"/>
          <w:sz w:val="22"/>
          <w:szCs w:val="22"/>
        </w:rPr>
        <w:t xml:space="preserve">znacząco </w:t>
      </w:r>
      <w:r w:rsidRPr="00E165DF">
        <w:rPr>
          <w:rFonts w:ascii="Titillium Web Light" w:hAnsi="Titillium Web Light"/>
          <w:sz w:val="22"/>
          <w:szCs w:val="22"/>
        </w:rPr>
        <w:t xml:space="preserve">przewyższyły ceny zaoferowane w zapytaniu ofertowym z dnia </w:t>
      </w:r>
      <w:r w:rsidR="00CC7B7E" w:rsidRPr="00E165DF">
        <w:rPr>
          <w:rFonts w:ascii="Titillium Web Light" w:hAnsi="Titillium Web Light"/>
          <w:sz w:val="22"/>
          <w:szCs w:val="22"/>
          <w:highlight w:val="yellow"/>
        </w:rPr>
        <w:t>….</w:t>
      </w:r>
      <w:r w:rsidRPr="00E165DF">
        <w:rPr>
          <w:rFonts w:ascii="Titillium Web Light" w:hAnsi="Titillium Web Light"/>
          <w:sz w:val="22"/>
          <w:szCs w:val="22"/>
        </w:rPr>
        <w:t xml:space="preserve">2021r., dlatego też wnosimy o aneksowanie umowy z dnia </w:t>
      </w:r>
      <w:r w:rsidR="00CC7B7E" w:rsidRPr="00E165DF">
        <w:rPr>
          <w:rFonts w:ascii="Titillium Web Light" w:hAnsi="Titillium Web Light"/>
          <w:sz w:val="22"/>
          <w:szCs w:val="22"/>
        </w:rPr>
        <w:t>07.12</w:t>
      </w:r>
      <w:r w:rsidR="006D36E1" w:rsidRPr="00E165DF">
        <w:rPr>
          <w:rFonts w:ascii="Titillium Web Light" w:hAnsi="Titillium Web Light"/>
          <w:sz w:val="22"/>
          <w:szCs w:val="22"/>
        </w:rPr>
        <w:t xml:space="preserve">.2021r. </w:t>
      </w:r>
      <w:r w:rsidRPr="00E165DF">
        <w:rPr>
          <w:rFonts w:ascii="Titillium Web Light" w:hAnsi="Titillium Web Light"/>
          <w:sz w:val="22"/>
          <w:szCs w:val="22"/>
        </w:rPr>
        <w:t xml:space="preserve">i w załączniku przedstawiamy nową ofertę, uwzględniającą </w:t>
      </w:r>
      <w:r w:rsidR="00CC7B7E" w:rsidRPr="00E165DF">
        <w:rPr>
          <w:rFonts w:ascii="Titillium Web Light" w:hAnsi="Titillium Web Light"/>
          <w:sz w:val="22"/>
          <w:szCs w:val="22"/>
        </w:rPr>
        <w:t>ww. wzrosty</w:t>
      </w:r>
      <w:r w:rsidRPr="00E165DF">
        <w:rPr>
          <w:rFonts w:ascii="Titillium Web Light" w:hAnsi="Titillium Web Light"/>
          <w:sz w:val="22"/>
          <w:szCs w:val="22"/>
        </w:rPr>
        <w:t>.</w:t>
      </w:r>
      <w:r w:rsidR="006D36E1" w:rsidRPr="00E165DF">
        <w:rPr>
          <w:rFonts w:ascii="Titillium Web Light" w:hAnsi="Titillium Web Light"/>
          <w:sz w:val="22"/>
          <w:szCs w:val="22"/>
        </w:rPr>
        <w:t xml:space="preserve"> Prosimy</w:t>
      </w:r>
      <w:r w:rsidR="007348BD">
        <w:rPr>
          <w:rFonts w:ascii="Titillium Web Light" w:hAnsi="Titillium Web Light"/>
          <w:sz w:val="22"/>
          <w:szCs w:val="22"/>
        </w:rPr>
        <w:t xml:space="preserve"> o aneksowanie umowy z dniem 01 </w:t>
      </w:r>
      <w:r w:rsidR="00E165DF" w:rsidRPr="00E165DF">
        <w:rPr>
          <w:rFonts w:ascii="Titillium Web Light" w:hAnsi="Titillium Web Light"/>
          <w:sz w:val="22"/>
          <w:szCs w:val="22"/>
        </w:rPr>
        <w:t>czerwca</w:t>
      </w:r>
      <w:r w:rsidR="006D36E1" w:rsidRPr="00E165DF">
        <w:rPr>
          <w:rFonts w:ascii="Titillium Web Light" w:hAnsi="Titillium Web Light"/>
          <w:sz w:val="22"/>
          <w:szCs w:val="22"/>
        </w:rPr>
        <w:t xml:space="preserve"> br.</w:t>
      </w:r>
    </w:p>
    <w:p w:rsidR="00CC5D7F" w:rsidRPr="00E165DF" w:rsidRDefault="00CC5D7F" w:rsidP="00AC3ADF">
      <w:pPr>
        <w:ind w:firstLine="708"/>
        <w:jc w:val="both"/>
        <w:outlineLvl w:val="0"/>
        <w:rPr>
          <w:rFonts w:ascii="Titillium Web Light" w:hAnsi="Titillium Web Light"/>
          <w:sz w:val="22"/>
          <w:szCs w:val="22"/>
        </w:rPr>
      </w:pPr>
    </w:p>
    <w:p w:rsidR="00AC3ADF" w:rsidRPr="00E165DF" w:rsidRDefault="00AC3ADF" w:rsidP="00AC3ADF">
      <w:pPr>
        <w:ind w:firstLine="708"/>
        <w:jc w:val="both"/>
        <w:outlineLvl w:val="0"/>
        <w:rPr>
          <w:rFonts w:ascii="Titillium Web Light" w:hAnsi="Titillium Web Light"/>
          <w:sz w:val="22"/>
          <w:szCs w:val="22"/>
        </w:rPr>
      </w:pPr>
      <w:r w:rsidRPr="00E165DF">
        <w:rPr>
          <w:rFonts w:ascii="Titillium Web Light" w:hAnsi="Titillium Web Light"/>
          <w:sz w:val="22"/>
          <w:szCs w:val="22"/>
        </w:rPr>
        <w:t xml:space="preserve">Mając na uwadze naszą długoletnią współpracę liczymy na pozytywne rozpatrzenie </w:t>
      </w:r>
      <w:r w:rsidR="007348BD">
        <w:rPr>
          <w:rFonts w:ascii="Titillium Web Light" w:hAnsi="Titillium Web Light"/>
          <w:sz w:val="22"/>
          <w:szCs w:val="22"/>
        </w:rPr>
        <w:t>naszego wniosku.</w:t>
      </w:r>
      <w:bookmarkStart w:id="0" w:name="_GoBack"/>
      <w:bookmarkEnd w:id="0"/>
    </w:p>
    <w:p w:rsidR="00AC3ADF" w:rsidRPr="00E165DF" w:rsidRDefault="00AC3ADF" w:rsidP="00AC3ADF">
      <w:pPr>
        <w:ind w:firstLine="708"/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E165DF">
        <w:rPr>
          <w:rFonts w:ascii="Titillium Web Light" w:hAnsi="Titillium Web Light"/>
          <w:sz w:val="22"/>
          <w:szCs w:val="22"/>
        </w:rPr>
        <w:t>Z poważaniem</w:t>
      </w:r>
    </w:p>
    <w:p w:rsidR="00AC3ADF" w:rsidRPr="00E165DF" w:rsidRDefault="00AC3ADF" w:rsidP="00AC3ADF">
      <w:pPr>
        <w:ind w:firstLine="708"/>
        <w:jc w:val="right"/>
        <w:outlineLvl w:val="0"/>
        <w:rPr>
          <w:rFonts w:ascii="Titillium Web Light" w:hAnsi="Titillium Web Light"/>
          <w:sz w:val="22"/>
          <w:szCs w:val="22"/>
        </w:rPr>
      </w:pPr>
    </w:p>
    <w:p w:rsidR="00AC3ADF" w:rsidRPr="00E165DF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 w:rsidRPr="00E165DF">
        <w:rPr>
          <w:rFonts w:ascii="Titillium Web Light" w:hAnsi="Titillium Web Light"/>
          <w:i/>
          <w:sz w:val="22"/>
          <w:szCs w:val="22"/>
        </w:rPr>
        <w:t>Marek Obłaza</w:t>
      </w:r>
    </w:p>
    <w:p w:rsidR="00AC3ADF" w:rsidRPr="00E165DF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 w:rsidRPr="00E165DF">
        <w:rPr>
          <w:rFonts w:ascii="Titillium Web Light" w:hAnsi="Titillium Web Light"/>
          <w:i/>
          <w:sz w:val="22"/>
          <w:szCs w:val="22"/>
        </w:rPr>
        <w:t xml:space="preserve">Wspólnik Zarządzający </w:t>
      </w:r>
    </w:p>
    <w:p w:rsidR="00F96E87" w:rsidRPr="00E165DF" w:rsidRDefault="00AC3ADF" w:rsidP="00456A4A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 w:rsidRPr="00E165DF">
        <w:rPr>
          <w:rFonts w:ascii="Titillium Web Light" w:hAnsi="Titillium Web Light"/>
          <w:i/>
          <w:sz w:val="22"/>
          <w:szCs w:val="22"/>
        </w:rPr>
        <w:t>ETISOFT KRAKÓW Marek Obłaza sp.k.</w:t>
      </w:r>
    </w:p>
    <w:p w:rsidR="00CC7B7E" w:rsidRPr="00E165DF" w:rsidRDefault="00CC7B7E" w:rsidP="00CC7B7E">
      <w:pPr>
        <w:ind w:firstLine="708"/>
        <w:outlineLvl w:val="0"/>
        <w:rPr>
          <w:rFonts w:ascii="Titillium Web Light" w:hAnsi="Titillium Web Light"/>
          <w:sz w:val="22"/>
          <w:szCs w:val="22"/>
          <w:u w:val="single"/>
        </w:rPr>
      </w:pPr>
      <w:r w:rsidRPr="00E165DF">
        <w:rPr>
          <w:rFonts w:ascii="Titillium Web Light" w:hAnsi="Titillium Web Light"/>
          <w:sz w:val="22"/>
          <w:szCs w:val="22"/>
          <w:u w:val="single"/>
        </w:rPr>
        <w:t>Załączniki:</w:t>
      </w:r>
    </w:p>
    <w:p w:rsidR="00CC7B7E" w:rsidRPr="00E165DF" w:rsidRDefault="00E165DF" w:rsidP="00E165DF">
      <w:pPr>
        <w:pStyle w:val="Akapitzlist"/>
        <w:numPr>
          <w:ilvl w:val="0"/>
          <w:numId w:val="10"/>
        </w:numPr>
        <w:outlineLvl w:val="0"/>
        <w:rPr>
          <w:rStyle w:val="Pogrubienie"/>
          <w:b w:val="0"/>
          <w:bCs w:val="0"/>
          <w:szCs w:val="22"/>
        </w:rPr>
      </w:pPr>
      <w:r w:rsidRPr="00E165DF">
        <w:rPr>
          <w:rStyle w:val="Pogrubienie"/>
          <w:b w:val="0"/>
          <w:bCs w:val="0"/>
          <w:szCs w:val="22"/>
          <w:highlight w:val="yellow"/>
        </w:rPr>
        <w:t>……….</w:t>
      </w:r>
      <w:r>
        <w:rPr>
          <w:rStyle w:val="Pogrubienie"/>
          <w:b w:val="0"/>
          <w:bCs w:val="0"/>
          <w:szCs w:val="22"/>
        </w:rPr>
        <w:t>.</w:t>
      </w:r>
    </w:p>
    <w:sectPr w:rsidR="00CC7B7E" w:rsidRPr="00E165DF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C95" w:rsidRDefault="00DD5C95" w:rsidP="000B41B0">
      <w:r>
        <w:separator/>
      </w:r>
    </w:p>
  </w:endnote>
  <w:endnote w:type="continuationSeparator" w:id="0">
    <w:p w:rsidR="00DD5C95" w:rsidRDefault="00DD5C95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E165DF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DAD0B97" wp14:editId="12A25D3A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DD5C9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9DF247A" wp14:editId="0087552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C95" w:rsidRDefault="00DD5C95" w:rsidP="000B41B0">
      <w:r>
        <w:separator/>
      </w:r>
    </w:p>
  </w:footnote>
  <w:footnote w:type="continuationSeparator" w:id="0">
    <w:p w:rsidR="00DD5C95" w:rsidRDefault="00DD5C95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1D7B61E" wp14:editId="6B725ED5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5FB6E4A"/>
    <w:multiLevelType w:val="hybridMultilevel"/>
    <w:tmpl w:val="0A7A6986"/>
    <w:lvl w:ilvl="0" w:tplc="0DB8C584">
      <w:start w:val="1"/>
      <w:numFmt w:val="decimal"/>
      <w:lvlText w:val="%1."/>
      <w:lvlJc w:val="left"/>
      <w:pPr>
        <w:ind w:left="1068" w:hanging="360"/>
      </w:pPr>
      <w:rPr>
        <w:rFonts w:ascii="Titillium Web Light" w:hAnsi="Titillium Web Light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8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25B91"/>
    <w:rsid w:val="000351C9"/>
    <w:rsid w:val="000414F4"/>
    <w:rsid w:val="00050281"/>
    <w:rsid w:val="0005587C"/>
    <w:rsid w:val="00072A32"/>
    <w:rsid w:val="0007560D"/>
    <w:rsid w:val="000B41B0"/>
    <w:rsid w:val="000B4DF1"/>
    <w:rsid w:val="000C326E"/>
    <w:rsid w:val="000E1202"/>
    <w:rsid w:val="0010111F"/>
    <w:rsid w:val="00102AA4"/>
    <w:rsid w:val="001134B8"/>
    <w:rsid w:val="00131CE2"/>
    <w:rsid w:val="00150B65"/>
    <w:rsid w:val="00157019"/>
    <w:rsid w:val="00162102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3E3512"/>
    <w:rsid w:val="00413BD4"/>
    <w:rsid w:val="004222F8"/>
    <w:rsid w:val="004230E6"/>
    <w:rsid w:val="00451C1B"/>
    <w:rsid w:val="00454947"/>
    <w:rsid w:val="00455E7F"/>
    <w:rsid w:val="00456A4A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5555B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36E1"/>
    <w:rsid w:val="006D637E"/>
    <w:rsid w:val="006E0938"/>
    <w:rsid w:val="00701889"/>
    <w:rsid w:val="00723220"/>
    <w:rsid w:val="007348BD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32655"/>
    <w:rsid w:val="00932ACA"/>
    <w:rsid w:val="009335CA"/>
    <w:rsid w:val="009506C3"/>
    <w:rsid w:val="009919C0"/>
    <w:rsid w:val="009C0015"/>
    <w:rsid w:val="009C43DA"/>
    <w:rsid w:val="009E5EE1"/>
    <w:rsid w:val="00A15561"/>
    <w:rsid w:val="00A17C89"/>
    <w:rsid w:val="00A31DD4"/>
    <w:rsid w:val="00A363AE"/>
    <w:rsid w:val="00A44B66"/>
    <w:rsid w:val="00A4750D"/>
    <w:rsid w:val="00A51BBA"/>
    <w:rsid w:val="00A62B13"/>
    <w:rsid w:val="00A73279"/>
    <w:rsid w:val="00A762A0"/>
    <w:rsid w:val="00AB7693"/>
    <w:rsid w:val="00AC16BD"/>
    <w:rsid w:val="00AC3ADF"/>
    <w:rsid w:val="00AF2ABA"/>
    <w:rsid w:val="00AF5F9C"/>
    <w:rsid w:val="00B14706"/>
    <w:rsid w:val="00B66845"/>
    <w:rsid w:val="00BA317A"/>
    <w:rsid w:val="00BB3371"/>
    <w:rsid w:val="00BB659E"/>
    <w:rsid w:val="00BC73DE"/>
    <w:rsid w:val="00BE64E4"/>
    <w:rsid w:val="00C03235"/>
    <w:rsid w:val="00C26241"/>
    <w:rsid w:val="00C278A5"/>
    <w:rsid w:val="00C340FD"/>
    <w:rsid w:val="00C5010B"/>
    <w:rsid w:val="00C57B7D"/>
    <w:rsid w:val="00C66C17"/>
    <w:rsid w:val="00C9215A"/>
    <w:rsid w:val="00CC5D7F"/>
    <w:rsid w:val="00CC7B7E"/>
    <w:rsid w:val="00D07B0D"/>
    <w:rsid w:val="00D11416"/>
    <w:rsid w:val="00D31CBB"/>
    <w:rsid w:val="00D33C89"/>
    <w:rsid w:val="00D437BA"/>
    <w:rsid w:val="00D756A5"/>
    <w:rsid w:val="00DA269D"/>
    <w:rsid w:val="00DA43F4"/>
    <w:rsid w:val="00DD5C95"/>
    <w:rsid w:val="00DE0650"/>
    <w:rsid w:val="00E165DF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04CF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2AE4F02A-1A19-432E-84B3-1F17F3946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35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2023-05-24T12:17:00Z</cp:lastPrinted>
  <dcterms:created xsi:type="dcterms:W3CDTF">2023-05-24T11:46:00Z</dcterms:created>
  <dcterms:modified xsi:type="dcterms:W3CDTF">2023-05-24T12:20:00Z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