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926" w:rsidRPr="004C6926" w:rsidRDefault="004C6926" w:rsidP="004C6926">
      <w:pPr>
        <w:jc w:val="right"/>
        <w:outlineLvl w:val="0"/>
        <w:rPr>
          <w:rFonts w:ascii="Titillium Web Light" w:hAnsi="Titillium Web Light"/>
          <w:sz w:val="22"/>
          <w:szCs w:val="22"/>
        </w:rPr>
      </w:pPr>
      <w:r w:rsidRPr="004C6926">
        <w:rPr>
          <w:rFonts w:ascii="Titillium Web Light" w:hAnsi="Titillium Web Light"/>
          <w:sz w:val="22"/>
          <w:szCs w:val="22"/>
        </w:rPr>
        <w:t xml:space="preserve">Kraków, </w:t>
      </w:r>
      <w:r>
        <w:rPr>
          <w:rFonts w:ascii="Titillium Web Light" w:hAnsi="Titillium Web Light"/>
          <w:sz w:val="22"/>
          <w:szCs w:val="22"/>
        </w:rPr>
        <w:t>202</w:t>
      </w:r>
      <w:r w:rsidR="00B5318B">
        <w:rPr>
          <w:rFonts w:ascii="Titillium Web Light" w:hAnsi="Titillium Web Light"/>
          <w:sz w:val="22"/>
          <w:szCs w:val="22"/>
        </w:rPr>
        <w:t>4</w:t>
      </w:r>
      <w:r>
        <w:rPr>
          <w:rFonts w:ascii="Titillium Web Light" w:hAnsi="Titillium Web Light"/>
          <w:sz w:val="22"/>
          <w:szCs w:val="22"/>
        </w:rPr>
        <w:t>-03-</w:t>
      </w:r>
      <w:r w:rsidR="008B4047">
        <w:rPr>
          <w:rFonts w:ascii="Titillium Web Light" w:hAnsi="Titillium Web Light"/>
          <w:sz w:val="22"/>
          <w:szCs w:val="22"/>
        </w:rPr>
        <w:t>13</w:t>
      </w:r>
    </w:p>
    <w:p w:rsidR="004C6926" w:rsidRPr="004C6926" w:rsidRDefault="004C6926" w:rsidP="004C6926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4C6926" w:rsidRDefault="004C6926" w:rsidP="004C6926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041475" w:rsidRDefault="00041475" w:rsidP="004C6926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041475" w:rsidRPr="004C6926" w:rsidRDefault="00041475" w:rsidP="004C6926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4C6926" w:rsidRPr="004C6926" w:rsidRDefault="004C6926" w:rsidP="004C6926">
      <w:pPr>
        <w:numPr>
          <w:ilvl w:val="0"/>
          <w:numId w:val="8"/>
        </w:numPr>
        <w:ind w:hanging="540"/>
        <w:jc w:val="both"/>
        <w:outlineLvl w:val="0"/>
        <w:rPr>
          <w:rFonts w:ascii="Titillium Web Light" w:hAnsi="Titillium Web Light"/>
          <w:b/>
        </w:rPr>
      </w:pPr>
      <w:r w:rsidRPr="004C6926">
        <w:rPr>
          <w:rFonts w:ascii="Titillium Web Light" w:hAnsi="Titillium Web Light" w:cs="Arial"/>
          <w:b/>
        </w:rPr>
        <w:t>Stanowiska w Dziale Handlowym</w:t>
      </w:r>
      <w:r w:rsidR="00CB1354">
        <w:rPr>
          <w:rFonts w:ascii="Titillium Web Light" w:hAnsi="Titillium Web Light" w:cs="Arial"/>
          <w:b/>
        </w:rPr>
        <w:t>.</w:t>
      </w:r>
      <w:bookmarkStart w:id="0" w:name="_GoBack"/>
      <w:bookmarkEnd w:id="0"/>
    </w:p>
    <w:p w:rsidR="004C6926" w:rsidRPr="004C6926" w:rsidRDefault="004C6926" w:rsidP="004C6926">
      <w:pPr>
        <w:jc w:val="both"/>
        <w:outlineLvl w:val="0"/>
        <w:rPr>
          <w:rFonts w:ascii="Titillium Web Light" w:hAnsi="Titillium Web Light"/>
          <w:b/>
        </w:rPr>
      </w:pPr>
    </w:p>
    <w:p w:rsidR="004C6926" w:rsidRPr="004C6926" w:rsidRDefault="004C6926" w:rsidP="004C6926">
      <w:pPr>
        <w:jc w:val="both"/>
        <w:rPr>
          <w:rFonts w:ascii="Titillium Web Light" w:hAnsi="Titillium Web Light" w:cs="Arial"/>
          <w:sz w:val="22"/>
          <w:szCs w:val="22"/>
        </w:rPr>
      </w:pPr>
      <w:r w:rsidRPr="004C6926">
        <w:rPr>
          <w:rFonts w:ascii="Titillium Web Light" w:hAnsi="Titillium Web Light" w:cs="Arial"/>
          <w:b/>
          <w:color w:val="333399"/>
          <w:sz w:val="22"/>
          <w:szCs w:val="22"/>
        </w:rPr>
        <w:t>KONSULTANT ds. HANDLOWYCH (KDH</w:t>
      </w:r>
      <w:r w:rsidRPr="004C6926">
        <w:rPr>
          <w:rFonts w:ascii="Titillium Web Light" w:hAnsi="Titillium Web Light" w:cs="Arial"/>
          <w:color w:val="333399"/>
          <w:sz w:val="22"/>
          <w:szCs w:val="22"/>
        </w:rPr>
        <w:t>)</w:t>
      </w:r>
      <w:r w:rsidRPr="004C6926">
        <w:rPr>
          <w:rFonts w:ascii="Titillium Web Light" w:hAnsi="Titillium Web Light" w:cs="Arial"/>
          <w:sz w:val="22"/>
          <w:szCs w:val="22"/>
        </w:rPr>
        <w:t xml:space="preserve"> - stanowisko pracownika DH, któremu przydzielana jest pod opiekę grupa stałych Klientów Firmy do obsługi i rozwoju oraz Indywidualny Plan Sprzedaży. Obowiązuje kwota bazowa wynagrodzenia zasadniczego </w:t>
      </w:r>
      <w:r w:rsidR="008B4047">
        <w:rPr>
          <w:rFonts w:ascii="Titillium Web Light" w:hAnsi="Titillium Web Light" w:cs="Arial"/>
          <w:b/>
          <w:sz w:val="22"/>
          <w:szCs w:val="22"/>
        </w:rPr>
        <w:t>54</w:t>
      </w:r>
      <w:r w:rsidRPr="004C6926">
        <w:rPr>
          <w:rFonts w:ascii="Titillium Web Light" w:hAnsi="Titillium Web Light" w:cs="Arial"/>
          <w:b/>
          <w:sz w:val="22"/>
          <w:szCs w:val="22"/>
        </w:rPr>
        <w:t>00,00 PLN brutto</w:t>
      </w:r>
      <w:r w:rsidRPr="004C6926">
        <w:rPr>
          <w:rFonts w:ascii="Titillium Web Light" w:hAnsi="Titillium Web Light" w:cs="Arial"/>
          <w:sz w:val="22"/>
          <w:szCs w:val="22"/>
        </w:rPr>
        <w:t xml:space="preserve">. </w:t>
      </w:r>
    </w:p>
    <w:p w:rsidR="004C6926" w:rsidRPr="004C6926" w:rsidRDefault="004C6926" w:rsidP="004C6926">
      <w:pPr>
        <w:jc w:val="both"/>
        <w:rPr>
          <w:rFonts w:ascii="Titillium Web Light" w:hAnsi="Titillium Web Light" w:cs="Arial"/>
          <w:color w:val="1F497D"/>
          <w:sz w:val="22"/>
          <w:szCs w:val="22"/>
        </w:rPr>
      </w:pPr>
    </w:p>
    <w:p w:rsidR="004C6926" w:rsidRPr="004C6926" w:rsidRDefault="004C6926" w:rsidP="004C6926">
      <w:pPr>
        <w:jc w:val="both"/>
        <w:rPr>
          <w:rFonts w:ascii="Titillium Web Light" w:hAnsi="Titillium Web Light" w:cs="Arial"/>
          <w:sz w:val="22"/>
          <w:szCs w:val="22"/>
        </w:rPr>
      </w:pPr>
      <w:r w:rsidRPr="004C6926">
        <w:rPr>
          <w:rFonts w:ascii="Titillium Web Light" w:hAnsi="Titillium Web Light" w:cs="Arial"/>
          <w:b/>
          <w:color w:val="333399"/>
          <w:sz w:val="22"/>
          <w:szCs w:val="22"/>
        </w:rPr>
        <w:t>SPECJALISTA ds. HANDLOWYCH (SDH</w:t>
      </w:r>
      <w:r w:rsidRPr="004C6926">
        <w:rPr>
          <w:rFonts w:ascii="Titillium Web Light" w:hAnsi="Titillium Web Light" w:cs="Arial"/>
          <w:color w:val="333399"/>
          <w:sz w:val="22"/>
          <w:szCs w:val="22"/>
        </w:rPr>
        <w:t xml:space="preserve">) </w:t>
      </w:r>
      <w:r w:rsidRPr="004C6926">
        <w:rPr>
          <w:rFonts w:ascii="Titillium Web Light" w:hAnsi="Titillium Web Light" w:cs="Arial"/>
          <w:sz w:val="22"/>
          <w:szCs w:val="22"/>
        </w:rPr>
        <w:t>- stanowisko pracownika DH</w:t>
      </w:r>
      <w:r>
        <w:rPr>
          <w:rFonts w:ascii="Titillium Web Light" w:hAnsi="Titillium Web Light" w:cs="Arial"/>
          <w:sz w:val="22"/>
          <w:szCs w:val="22"/>
        </w:rPr>
        <w:t>, który posiada doświadczenie w </w:t>
      </w:r>
      <w:r w:rsidRPr="004C6926">
        <w:rPr>
          <w:rFonts w:ascii="Titillium Web Light" w:hAnsi="Titillium Web Light" w:cs="Arial"/>
          <w:sz w:val="22"/>
          <w:szCs w:val="22"/>
        </w:rPr>
        <w:t xml:space="preserve">sprzedaży produktów oferowanych przez Firmę, nawiązywaniu relacji z Klientami oraz w prowadzeniu dokumentacji. Pracownikowi przydzielana jest pod opiekę, grupa stałych Klientów Firmy do rozwoju (część to: klienci kat. A, B oraz klienci z potencjałem A, B), oraz Indywidualny Plan Sprzedaży. Obowiązuje kwota bazowa wynagrodzenia zasadniczego </w:t>
      </w:r>
      <w:r w:rsidRPr="00041475">
        <w:rPr>
          <w:rFonts w:ascii="Titillium Web Light" w:hAnsi="Titillium Web Light" w:cs="Arial"/>
          <w:b/>
          <w:sz w:val="22"/>
          <w:szCs w:val="22"/>
        </w:rPr>
        <w:t>5</w:t>
      </w:r>
      <w:r w:rsidR="00751AD3">
        <w:rPr>
          <w:rFonts w:ascii="Titillium Web Light" w:hAnsi="Titillium Web Light" w:cs="Arial"/>
          <w:b/>
          <w:sz w:val="22"/>
          <w:szCs w:val="22"/>
        </w:rPr>
        <w:t>9</w:t>
      </w:r>
      <w:r w:rsidRPr="004C6926">
        <w:rPr>
          <w:rFonts w:ascii="Titillium Web Light" w:hAnsi="Titillium Web Light" w:cs="Arial"/>
          <w:b/>
          <w:sz w:val="22"/>
          <w:szCs w:val="22"/>
        </w:rPr>
        <w:t>00,00 PLN brutto.</w:t>
      </w:r>
      <w:r w:rsidRPr="004C6926">
        <w:rPr>
          <w:rFonts w:ascii="Titillium Web Light" w:hAnsi="Titillium Web Light" w:cs="Arial"/>
          <w:sz w:val="22"/>
          <w:szCs w:val="22"/>
        </w:rPr>
        <w:t xml:space="preserve"> </w:t>
      </w:r>
    </w:p>
    <w:p w:rsidR="004C6926" w:rsidRPr="004C6926" w:rsidRDefault="004C6926" w:rsidP="004C6926">
      <w:pPr>
        <w:jc w:val="both"/>
        <w:rPr>
          <w:rFonts w:ascii="Titillium Web Light" w:hAnsi="Titillium Web Light" w:cs="Arial"/>
          <w:sz w:val="22"/>
          <w:szCs w:val="22"/>
        </w:rPr>
      </w:pPr>
    </w:p>
    <w:p w:rsidR="004C6926" w:rsidRPr="004C6926" w:rsidRDefault="004C6926" w:rsidP="004C6926">
      <w:pPr>
        <w:jc w:val="both"/>
        <w:rPr>
          <w:rFonts w:ascii="Titillium Web Light" w:hAnsi="Titillium Web Light" w:cs="Arial"/>
          <w:b/>
          <w:sz w:val="22"/>
          <w:szCs w:val="22"/>
        </w:rPr>
      </w:pPr>
      <w:r w:rsidRPr="004C6926">
        <w:rPr>
          <w:rFonts w:ascii="Titillium Web Light" w:hAnsi="Titillium Web Light" w:cs="Arial"/>
          <w:b/>
          <w:color w:val="333399"/>
          <w:sz w:val="22"/>
          <w:szCs w:val="22"/>
        </w:rPr>
        <w:t>SPECJALISTA ds. KLUCZOWYCH KLIENTÓW (SDKK)</w:t>
      </w:r>
      <w:r w:rsidRPr="004C6926">
        <w:rPr>
          <w:rFonts w:ascii="Titillium Web Light" w:hAnsi="Titillium Web Light" w:cs="Arial"/>
          <w:sz w:val="22"/>
          <w:szCs w:val="22"/>
        </w:rPr>
        <w:t xml:space="preserve"> – stanowisko pracownika DH, który </w:t>
      </w:r>
      <w:r>
        <w:rPr>
          <w:rFonts w:ascii="Titillium Web Light" w:hAnsi="Titillium Web Light" w:cs="Arial"/>
          <w:sz w:val="22"/>
          <w:szCs w:val="22"/>
        </w:rPr>
        <w:t>w</w:t>
      </w:r>
      <w:r w:rsidRPr="004C6926">
        <w:rPr>
          <w:rFonts w:ascii="Titillium Web Light" w:hAnsi="Titillium Web Light" w:cs="Arial"/>
          <w:sz w:val="22"/>
          <w:szCs w:val="22"/>
        </w:rPr>
        <w:t>yróżnia się pod względem umiejętności sprzedaży całego asortymentu, prowadzenia klientów z kategorii A, B</w:t>
      </w:r>
      <w:r>
        <w:rPr>
          <w:rFonts w:ascii="Titillium Web Light" w:hAnsi="Titillium Web Light" w:cs="Arial"/>
          <w:sz w:val="22"/>
          <w:szCs w:val="22"/>
        </w:rPr>
        <w:t xml:space="preserve"> oraz </w:t>
      </w:r>
      <w:r w:rsidRPr="004C6926">
        <w:rPr>
          <w:rFonts w:ascii="Titillium Web Light" w:hAnsi="Titillium Web Light" w:cs="Arial"/>
          <w:sz w:val="22"/>
          <w:szCs w:val="22"/>
        </w:rPr>
        <w:t xml:space="preserve">prowadzenia dokumentacji. Pracownikowi przydzielana jest pod opiekę, grupa stałych Klientów Firmy do obsługi i rozwoju (klienci kat. A, B oraz klienci z potencjałem A, B), oraz Indywidualny Plan Sprzedaży. Obowiązuje kwota bazowa wynagrodzenia zasadniczego </w:t>
      </w:r>
      <w:r w:rsidR="00041475">
        <w:rPr>
          <w:rFonts w:ascii="Titillium Web Light" w:hAnsi="Titillium Web Light" w:cs="Arial"/>
          <w:b/>
          <w:sz w:val="22"/>
          <w:szCs w:val="22"/>
        </w:rPr>
        <w:t>6</w:t>
      </w:r>
      <w:r w:rsidR="00751AD3">
        <w:rPr>
          <w:rFonts w:ascii="Titillium Web Light" w:hAnsi="Titillium Web Light" w:cs="Arial"/>
          <w:b/>
          <w:sz w:val="22"/>
          <w:szCs w:val="22"/>
        </w:rPr>
        <w:t>8</w:t>
      </w:r>
      <w:r w:rsidRPr="004C6926">
        <w:rPr>
          <w:rFonts w:ascii="Titillium Web Light" w:hAnsi="Titillium Web Light" w:cs="Arial"/>
          <w:b/>
          <w:sz w:val="22"/>
          <w:szCs w:val="22"/>
        </w:rPr>
        <w:t>00,00</w:t>
      </w:r>
      <w:r w:rsidRPr="004C6926">
        <w:rPr>
          <w:rFonts w:ascii="Titillium Web Light" w:hAnsi="Titillium Web Light" w:cs="Arial"/>
          <w:sz w:val="22"/>
          <w:szCs w:val="22"/>
        </w:rPr>
        <w:t xml:space="preserve"> </w:t>
      </w:r>
      <w:r w:rsidRPr="004C6926">
        <w:rPr>
          <w:rFonts w:ascii="Titillium Web Light" w:hAnsi="Titillium Web Light" w:cs="Arial"/>
          <w:b/>
          <w:sz w:val="22"/>
          <w:szCs w:val="22"/>
        </w:rPr>
        <w:t xml:space="preserve">PLN brutto.  </w:t>
      </w:r>
    </w:p>
    <w:p w:rsidR="004C6926" w:rsidRPr="004C6926" w:rsidRDefault="004C6926" w:rsidP="004C6926">
      <w:pPr>
        <w:jc w:val="both"/>
        <w:rPr>
          <w:rFonts w:ascii="Titillium Web Light" w:hAnsi="Titillium Web Light" w:cs="Arial"/>
          <w:sz w:val="20"/>
          <w:szCs w:val="20"/>
        </w:rPr>
      </w:pPr>
    </w:p>
    <w:p w:rsidR="004C6926" w:rsidRPr="004C6926" w:rsidRDefault="004C6926" w:rsidP="004C6926">
      <w:pPr>
        <w:numPr>
          <w:ilvl w:val="0"/>
          <w:numId w:val="8"/>
        </w:numPr>
        <w:jc w:val="both"/>
        <w:outlineLvl w:val="0"/>
        <w:rPr>
          <w:rFonts w:ascii="Titillium Web Light" w:hAnsi="Titillium Web Light" w:cs="Arial"/>
          <w:b/>
        </w:rPr>
      </w:pPr>
      <w:r w:rsidRPr="004C6926">
        <w:rPr>
          <w:rFonts w:ascii="Titillium Web Light" w:hAnsi="Titillium Web Light" w:cs="Arial"/>
          <w:b/>
        </w:rPr>
        <w:t>Składniki wynagrodzenia pracownika Działu Handlowego.</w:t>
      </w:r>
    </w:p>
    <w:p w:rsidR="004C6926" w:rsidRPr="004C6926" w:rsidRDefault="004C6926" w:rsidP="004C6926">
      <w:pPr>
        <w:ind w:left="360"/>
        <w:jc w:val="both"/>
        <w:outlineLvl w:val="0"/>
        <w:rPr>
          <w:rFonts w:ascii="Titillium Web Light" w:hAnsi="Titillium Web Light" w:cs="Arial"/>
          <w:b/>
        </w:rPr>
      </w:pPr>
    </w:p>
    <w:p w:rsidR="004C6926" w:rsidRPr="004C6926" w:rsidRDefault="004C6926" w:rsidP="004C6926">
      <w:pPr>
        <w:jc w:val="both"/>
        <w:rPr>
          <w:rFonts w:ascii="Titillium Web Light" w:hAnsi="Titillium Web Light" w:cs="Arial"/>
          <w:sz w:val="22"/>
          <w:szCs w:val="22"/>
        </w:rPr>
      </w:pPr>
      <w:r w:rsidRPr="004C6926">
        <w:rPr>
          <w:rFonts w:ascii="Titillium Web Light" w:hAnsi="Titillium Web Light" w:cs="Arial"/>
          <w:sz w:val="22"/>
          <w:szCs w:val="22"/>
        </w:rPr>
        <w:t>Wynagrodzenie pracownika DH składa się z trzech części.</w:t>
      </w:r>
    </w:p>
    <w:p w:rsidR="004C6926" w:rsidRPr="004C6926" w:rsidRDefault="004C6926" w:rsidP="004C6926">
      <w:pPr>
        <w:numPr>
          <w:ilvl w:val="0"/>
          <w:numId w:val="9"/>
        </w:numPr>
        <w:ind w:hanging="720"/>
        <w:jc w:val="both"/>
        <w:rPr>
          <w:rFonts w:ascii="Titillium Web Light" w:hAnsi="Titillium Web Light" w:cs="Arial"/>
          <w:sz w:val="22"/>
          <w:szCs w:val="22"/>
        </w:rPr>
      </w:pPr>
      <w:r w:rsidRPr="004C6926">
        <w:rPr>
          <w:rFonts w:ascii="Titillium Web Light" w:hAnsi="Titillium Web Light" w:cs="Arial"/>
          <w:sz w:val="22"/>
          <w:szCs w:val="22"/>
        </w:rPr>
        <w:t xml:space="preserve">Pierwsza część to </w:t>
      </w:r>
      <w:r w:rsidRPr="004C6926">
        <w:rPr>
          <w:rFonts w:ascii="Titillium Web Light" w:hAnsi="Titillium Web Light" w:cs="Arial"/>
          <w:b/>
          <w:sz w:val="22"/>
          <w:szCs w:val="22"/>
        </w:rPr>
        <w:t>wynagrodzenie zasadnicze</w:t>
      </w:r>
      <w:r w:rsidRPr="004C6926">
        <w:rPr>
          <w:rFonts w:ascii="Titillium Web Light" w:hAnsi="Titillium Web Light" w:cs="Arial"/>
          <w:sz w:val="22"/>
          <w:szCs w:val="22"/>
        </w:rPr>
        <w:t xml:space="preserve">, którego wysokość uzależniona jest od zajmowanego stanowiska w DH i określona jest w umowie o pracę. Wynagrodzenie zasadnicze mieści się w przedziale </w:t>
      </w:r>
      <w:r w:rsidRPr="004C6926">
        <w:rPr>
          <w:rFonts w:ascii="Titillium Web Light" w:hAnsi="Titillium Web Light" w:cs="Arial"/>
          <w:b/>
          <w:sz w:val="22"/>
          <w:szCs w:val="22"/>
        </w:rPr>
        <w:t>od 70% do 120% kwoty bazowej</w:t>
      </w:r>
      <w:r w:rsidRPr="004C6926">
        <w:rPr>
          <w:rFonts w:ascii="Titillium Web Light" w:hAnsi="Titillium Web Light" w:cs="Arial"/>
          <w:sz w:val="22"/>
          <w:szCs w:val="22"/>
        </w:rPr>
        <w:t>.</w:t>
      </w:r>
    </w:p>
    <w:p w:rsidR="004C6926" w:rsidRPr="004C6926" w:rsidRDefault="004C6926" w:rsidP="004C6926">
      <w:pPr>
        <w:numPr>
          <w:ilvl w:val="0"/>
          <w:numId w:val="9"/>
        </w:numPr>
        <w:ind w:hanging="720"/>
        <w:jc w:val="both"/>
        <w:rPr>
          <w:rFonts w:ascii="Titillium Web Light" w:hAnsi="Titillium Web Light" w:cs="Arial"/>
          <w:b/>
          <w:bCs/>
          <w:sz w:val="22"/>
          <w:szCs w:val="22"/>
        </w:rPr>
      </w:pPr>
      <w:r w:rsidRPr="004C6926">
        <w:rPr>
          <w:rFonts w:ascii="Titillium Web Light" w:hAnsi="Titillium Web Light" w:cs="Arial"/>
          <w:sz w:val="22"/>
          <w:szCs w:val="22"/>
        </w:rPr>
        <w:t xml:space="preserve">Drugą część wynagrodzenia stanowi </w:t>
      </w:r>
      <w:r w:rsidRPr="004C6926">
        <w:rPr>
          <w:rFonts w:ascii="Titillium Web Light" w:hAnsi="Titillium Web Light" w:cs="Arial"/>
          <w:b/>
          <w:sz w:val="22"/>
          <w:szCs w:val="22"/>
        </w:rPr>
        <w:t>premia miesięczna</w:t>
      </w:r>
      <w:r w:rsidRPr="004C6926">
        <w:rPr>
          <w:rFonts w:ascii="Titillium Web Light" w:hAnsi="Titillium Web Light" w:cs="Arial"/>
          <w:sz w:val="22"/>
          <w:szCs w:val="22"/>
        </w:rPr>
        <w:t>, niezależna od wskaźników</w:t>
      </w:r>
      <w:r w:rsidRPr="004C6926">
        <w:rPr>
          <w:rFonts w:ascii="Titillium Web Light" w:hAnsi="Titillium Web Light" w:cs="Arial"/>
          <w:b/>
          <w:sz w:val="22"/>
          <w:szCs w:val="22"/>
        </w:rPr>
        <w:t>.</w:t>
      </w:r>
      <w:r w:rsidRPr="004C6926">
        <w:rPr>
          <w:rFonts w:ascii="Titillium Web Light" w:hAnsi="Titillium Web Light" w:cs="Arial"/>
          <w:sz w:val="22"/>
          <w:szCs w:val="22"/>
        </w:rPr>
        <w:t xml:space="preserve"> Wysokość premii miesięcznej stanowi maksymalnie </w:t>
      </w:r>
      <w:r w:rsidRPr="004C6926">
        <w:rPr>
          <w:rFonts w:ascii="Titillium Web Light" w:hAnsi="Titillium Web Light" w:cs="Arial"/>
          <w:b/>
          <w:sz w:val="22"/>
          <w:szCs w:val="22"/>
        </w:rPr>
        <w:t>15%</w:t>
      </w:r>
      <w:r w:rsidRPr="004C6926">
        <w:rPr>
          <w:rFonts w:ascii="Titillium Web Light" w:hAnsi="Titillium Web Light" w:cs="Arial"/>
          <w:sz w:val="22"/>
          <w:szCs w:val="22"/>
        </w:rPr>
        <w:t xml:space="preserve"> wynagrodzenia zasadniczego.</w:t>
      </w:r>
    </w:p>
    <w:p w:rsidR="004C6926" w:rsidRPr="004C6926" w:rsidRDefault="004C6926" w:rsidP="004C6926">
      <w:pPr>
        <w:numPr>
          <w:ilvl w:val="0"/>
          <w:numId w:val="9"/>
        </w:numPr>
        <w:ind w:hanging="720"/>
        <w:jc w:val="both"/>
        <w:rPr>
          <w:rFonts w:ascii="Titillium Web Light" w:hAnsi="Titillium Web Light" w:cs="Arial"/>
          <w:b/>
          <w:bCs/>
          <w:sz w:val="22"/>
          <w:szCs w:val="22"/>
        </w:rPr>
      </w:pPr>
      <w:r w:rsidRPr="004C6926">
        <w:rPr>
          <w:rFonts w:ascii="Titillium Web Light" w:hAnsi="Titillium Web Light" w:cs="Arial"/>
          <w:sz w:val="22"/>
          <w:szCs w:val="22"/>
        </w:rPr>
        <w:t xml:space="preserve">Trzecią część wynagrodzenia stanowi </w:t>
      </w:r>
      <w:r w:rsidRPr="004C6926">
        <w:rPr>
          <w:rFonts w:ascii="Titillium Web Light" w:hAnsi="Titillium Web Light" w:cs="Arial"/>
          <w:b/>
          <w:sz w:val="22"/>
          <w:szCs w:val="22"/>
        </w:rPr>
        <w:t>premia miesięczna</w:t>
      </w:r>
      <w:r w:rsidRPr="004C6926">
        <w:rPr>
          <w:rFonts w:ascii="Titillium Web Light" w:hAnsi="Titillium Web Light" w:cs="Arial"/>
          <w:sz w:val="22"/>
          <w:szCs w:val="22"/>
        </w:rPr>
        <w:t xml:space="preserve">, zależna od wykonania określonych wskaźników. Wysokość premii miesięcznej stanowi maksymalnie </w:t>
      </w:r>
      <w:r w:rsidRPr="004C6926">
        <w:rPr>
          <w:rFonts w:ascii="Titillium Web Light" w:hAnsi="Titillium Web Light" w:cs="Arial"/>
          <w:b/>
          <w:sz w:val="22"/>
          <w:szCs w:val="22"/>
        </w:rPr>
        <w:t>40%</w:t>
      </w:r>
      <w:r w:rsidRPr="004C6926">
        <w:rPr>
          <w:rFonts w:ascii="Titillium Web Light" w:hAnsi="Titillium Web Light" w:cs="Arial"/>
          <w:sz w:val="22"/>
          <w:szCs w:val="22"/>
        </w:rPr>
        <w:t xml:space="preserve"> wynagrodzenia zasadniczego.</w:t>
      </w:r>
    </w:p>
    <w:p w:rsidR="004C6926" w:rsidRPr="004C6926" w:rsidRDefault="004C6926" w:rsidP="004C6926">
      <w:pPr>
        <w:numPr>
          <w:ilvl w:val="0"/>
          <w:numId w:val="9"/>
        </w:numPr>
        <w:ind w:hanging="720"/>
        <w:jc w:val="both"/>
        <w:rPr>
          <w:rFonts w:ascii="Titillium Web Light" w:hAnsi="Titillium Web Light" w:cs="Arial"/>
          <w:sz w:val="22"/>
          <w:szCs w:val="22"/>
        </w:rPr>
      </w:pPr>
      <w:bookmarkStart w:id="1" w:name="OLE_LINK3"/>
      <w:bookmarkEnd w:id="1"/>
      <w:r w:rsidRPr="004C6926">
        <w:rPr>
          <w:rFonts w:ascii="Titillium Web Light" w:hAnsi="Titillium Web Light" w:cs="Tahoma"/>
          <w:sz w:val="22"/>
          <w:szCs w:val="22"/>
        </w:rPr>
        <w:t xml:space="preserve">Czwartą część wynagrodzenia stanowi </w:t>
      </w:r>
      <w:r w:rsidRPr="004C6926">
        <w:rPr>
          <w:rFonts w:ascii="Titillium Web Light" w:hAnsi="Titillium Web Light" w:cs="Tahoma"/>
          <w:b/>
          <w:sz w:val="22"/>
          <w:szCs w:val="22"/>
        </w:rPr>
        <w:t xml:space="preserve">premia kwartalna. </w:t>
      </w:r>
      <w:r w:rsidRPr="004C6926">
        <w:rPr>
          <w:rFonts w:ascii="Titillium Web Light" w:hAnsi="Titillium Web Light" w:cs="Arial"/>
          <w:sz w:val="22"/>
          <w:szCs w:val="22"/>
        </w:rPr>
        <w:t xml:space="preserve">Wysokość premii kwartalnej stanowi maksymalnie </w:t>
      </w:r>
      <w:r w:rsidRPr="004C6926">
        <w:rPr>
          <w:rFonts w:ascii="Titillium Web Light" w:hAnsi="Titillium Web Light" w:cs="Arial"/>
          <w:b/>
          <w:sz w:val="22"/>
          <w:szCs w:val="22"/>
        </w:rPr>
        <w:t>100%</w:t>
      </w:r>
      <w:r w:rsidRPr="004C6926">
        <w:rPr>
          <w:rFonts w:ascii="Titillium Web Light" w:hAnsi="Titillium Web Light" w:cs="Arial"/>
          <w:sz w:val="22"/>
          <w:szCs w:val="22"/>
        </w:rPr>
        <w:t xml:space="preserve"> </w:t>
      </w:r>
      <w:r>
        <w:rPr>
          <w:rFonts w:ascii="Titillium Web Light" w:hAnsi="Titillium Web Light" w:cs="Arial"/>
          <w:sz w:val="22"/>
          <w:szCs w:val="22"/>
        </w:rPr>
        <w:t>wynagrodzenia zasadniczego i uzależniona jest od określonych wskaźników.</w:t>
      </w:r>
    </w:p>
    <w:p w:rsidR="004C6926" w:rsidRPr="004C6926" w:rsidRDefault="004C6926" w:rsidP="004C6926">
      <w:pPr>
        <w:jc w:val="both"/>
        <w:rPr>
          <w:rFonts w:ascii="Titillium Web Light" w:hAnsi="Titillium Web Light" w:cs="Arial"/>
          <w:sz w:val="22"/>
          <w:szCs w:val="22"/>
        </w:rPr>
      </w:pPr>
      <w:r w:rsidRPr="004C6926">
        <w:rPr>
          <w:rFonts w:ascii="Titillium Web Light" w:hAnsi="Titillium Web Light" w:cs="Arial"/>
          <w:sz w:val="22"/>
          <w:szCs w:val="22"/>
        </w:rPr>
        <w:t>Zasady naliczania i wypłacania wynagrodzenia zasadniczego i premii określone są w Regulaminie Wynagradzania.</w:t>
      </w:r>
    </w:p>
    <w:p w:rsidR="004C6926" w:rsidRDefault="004C6926" w:rsidP="004C6926">
      <w:pPr>
        <w:rPr>
          <w:rFonts w:ascii="Titillium Web Light" w:hAnsi="Titillium Web Light" w:cs="Arial"/>
          <w:sz w:val="22"/>
          <w:szCs w:val="22"/>
        </w:rPr>
      </w:pPr>
    </w:p>
    <w:p w:rsidR="004C6926" w:rsidRDefault="004C6926" w:rsidP="004C6926">
      <w:pPr>
        <w:rPr>
          <w:rFonts w:ascii="Titillium Web Light" w:hAnsi="Titillium Web Light" w:cs="Arial"/>
          <w:sz w:val="22"/>
          <w:szCs w:val="22"/>
        </w:rPr>
      </w:pPr>
      <w:r w:rsidRPr="004C6926">
        <w:rPr>
          <w:rFonts w:ascii="Titillium Web Light" w:hAnsi="Titillium Web Light" w:cs="Arial"/>
          <w:sz w:val="22"/>
          <w:szCs w:val="22"/>
        </w:rPr>
        <w:t xml:space="preserve">Obowiązuje od: 1 </w:t>
      </w:r>
      <w:r>
        <w:rPr>
          <w:rFonts w:ascii="Titillium Web Light" w:hAnsi="Titillium Web Light" w:cs="Arial"/>
          <w:sz w:val="22"/>
          <w:szCs w:val="22"/>
        </w:rPr>
        <w:t>kwietnia 202</w:t>
      </w:r>
      <w:r w:rsidR="008B4047">
        <w:rPr>
          <w:rFonts w:ascii="Titillium Web Light" w:hAnsi="Titillium Web Light" w:cs="Arial"/>
          <w:sz w:val="22"/>
          <w:szCs w:val="22"/>
        </w:rPr>
        <w:t>4</w:t>
      </w:r>
      <w:r w:rsidR="00041475">
        <w:rPr>
          <w:rFonts w:ascii="Titillium Web Light" w:hAnsi="Titillium Web Light" w:cs="Arial"/>
          <w:sz w:val="22"/>
          <w:szCs w:val="22"/>
        </w:rPr>
        <w:t>r</w:t>
      </w:r>
      <w:r w:rsidRPr="004C6926">
        <w:rPr>
          <w:rFonts w:ascii="Titillium Web Light" w:hAnsi="Titillium Web Light" w:cs="Arial"/>
          <w:sz w:val="22"/>
          <w:szCs w:val="22"/>
        </w:rPr>
        <w:t>.</w:t>
      </w:r>
      <w:r>
        <w:rPr>
          <w:rFonts w:ascii="Titillium Web Light" w:hAnsi="Titillium Web Light" w:cs="Arial"/>
          <w:sz w:val="22"/>
          <w:szCs w:val="22"/>
        </w:rPr>
        <w:t xml:space="preserve"> </w:t>
      </w:r>
    </w:p>
    <w:p w:rsidR="00D11416" w:rsidRPr="004C6926" w:rsidRDefault="004C6926" w:rsidP="004C6926">
      <w:r w:rsidRPr="004C6926">
        <w:rPr>
          <w:rFonts w:ascii="Titillium Web Light" w:hAnsi="Titillium Web Light" w:cs="Arial"/>
          <w:sz w:val="22"/>
          <w:szCs w:val="22"/>
        </w:rPr>
        <w:t xml:space="preserve">Zatwierdził: </w:t>
      </w:r>
      <w:r>
        <w:rPr>
          <w:rFonts w:ascii="Titillium Web Light" w:hAnsi="Titillium Web Light" w:cs="Arial"/>
          <w:sz w:val="22"/>
          <w:szCs w:val="22"/>
        </w:rPr>
        <w:t xml:space="preserve"> </w:t>
      </w:r>
      <w:r w:rsidRPr="004C6926">
        <w:rPr>
          <w:rFonts w:ascii="Titillium Web Light" w:hAnsi="Titillium Web Light" w:cs="Arial"/>
          <w:sz w:val="22"/>
          <w:szCs w:val="22"/>
        </w:rPr>
        <w:t>Marek Obłaza</w:t>
      </w:r>
      <w:r>
        <w:rPr>
          <w:rFonts w:ascii="Titillium Web Light" w:hAnsi="Titillium Web Light" w:cs="Arial"/>
          <w:sz w:val="22"/>
          <w:szCs w:val="22"/>
        </w:rPr>
        <w:t xml:space="preserve"> </w:t>
      </w:r>
    </w:p>
    <w:sectPr w:rsidR="00D11416" w:rsidRPr="004C6926" w:rsidSect="004C6926">
      <w:headerReference w:type="default" r:id="rId12"/>
      <w:footerReference w:type="even" r:id="rId13"/>
      <w:headerReference w:type="first" r:id="rId14"/>
      <w:footerReference w:type="first" r:id="rId15"/>
      <w:pgSz w:w="11906" w:h="16838"/>
      <w:pgMar w:top="851" w:right="1133" w:bottom="1418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1C5" w:rsidRDefault="008901C5" w:rsidP="000B41B0">
      <w:r>
        <w:separator/>
      </w:r>
    </w:p>
  </w:endnote>
  <w:endnote w:type="continuationSeparator" w:id="0">
    <w:p w:rsidR="008901C5" w:rsidRDefault="008901C5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441C33D1" wp14:editId="08FCA5E1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 xml:space="preserve">Etisoft </w:t>
          </w:r>
          <w:r w:rsidR="005E2813" w:rsidRPr="004C6926">
            <w:rPr>
              <w:rFonts w:ascii="Titillium Web Light" w:hAnsi="Titillium Web Light"/>
              <w:color w:val="2F4D83" w:themeColor="accent1"/>
            </w:rPr>
            <w:t xml:space="preserve">Kraków </w:t>
          </w:r>
        </w:p>
        <w:p w:rsidR="0026704F" w:rsidRPr="004C6926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proofErr w:type="spellStart"/>
          <w:r w:rsidRPr="004C6926">
            <w:rPr>
              <w:rFonts w:ascii="Titillium Web Light" w:hAnsi="Titillium Web Light"/>
              <w:color w:val="2F4D83" w:themeColor="accent1"/>
            </w:rPr>
            <w:t>Rydlówka</w:t>
          </w:r>
          <w:proofErr w:type="spellEnd"/>
          <w:r w:rsidRPr="004C6926">
            <w:rPr>
              <w:rFonts w:ascii="Titillium Web Light" w:hAnsi="Titillium Web Light"/>
              <w:color w:val="2F4D83" w:themeColor="accent1"/>
            </w:rPr>
            <w:t xml:space="preserve"> 20, 30-363 Kraków</w:t>
          </w: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 xml:space="preserve">+48 </w:t>
          </w:r>
          <w:r w:rsidR="00FE735D" w:rsidRPr="004C6926">
            <w:rPr>
              <w:rFonts w:ascii="Titillium Web Light" w:hAnsi="Titillium Web Light"/>
              <w:color w:val="2F4D83" w:themeColor="accent1"/>
            </w:rPr>
            <w:t>12 263 77 51</w:t>
          </w:r>
        </w:p>
        <w:p w:rsidR="0026704F" w:rsidRPr="004C6926" w:rsidRDefault="008901C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hyperlink r:id="rId3" w:history="1">
            <w:r w:rsidR="00FE735D" w:rsidRPr="004C6926">
              <w:rPr>
                <w:rStyle w:val="Hipercze"/>
                <w:rFonts w:ascii="Titillium Web Light" w:hAnsi="Titillium Web Light"/>
                <w:color w:val="2F4D83" w:themeColor="accent1"/>
                <w:u w:val="none"/>
              </w:rPr>
              <w:t>krakow</w:t>
            </w:r>
            <w:r w:rsidR="0026704F" w:rsidRPr="004C6926">
              <w:rPr>
                <w:rStyle w:val="Hipercze"/>
                <w:rFonts w:ascii="Titillium Web Light" w:hAnsi="Titillium Web Light"/>
                <w:color w:val="2F4D83" w:themeColor="accent1"/>
                <w:u w:val="none"/>
              </w:rPr>
              <w:t>@etisoft.com.pl</w:t>
            </w:r>
          </w:hyperlink>
        </w:p>
        <w:p w:rsidR="0026704F" w:rsidRPr="004C6926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>www.</w:t>
          </w:r>
          <w:r w:rsidR="0026704F" w:rsidRPr="004C6926">
            <w:rPr>
              <w:rFonts w:ascii="Titillium Web Light" w:hAnsi="Titillium Web Light"/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5F74711E" wp14:editId="11247793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 xml:space="preserve">NIP: </w:t>
          </w:r>
          <w:r w:rsidR="00DA269D" w:rsidRPr="004C6926">
            <w:rPr>
              <w:rFonts w:ascii="Titillium Web Light" w:hAnsi="Titillium Web Light"/>
              <w:color w:val="2F4D83" w:themeColor="accent1"/>
            </w:rPr>
            <w:t>PL</w:t>
          </w:r>
          <w:r w:rsidR="00FE735D" w:rsidRPr="004C6926">
            <w:rPr>
              <w:rFonts w:ascii="Titillium Web Light" w:hAnsi="Titillium Web Light"/>
              <w:color w:val="2F4D83" w:themeColor="accent1"/>
            </w:rPr>
            <w:t>6792828691</w:t>
          </w: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>BDO: 0000</w:t>
          </w:r>
          <w:r w:rsidR="00FE735D" w:rsidRPr="004C6926">
            <w:rPr>
              <w:rFonts w:ascii="Titillium Web Light" w:hAnsi="Titillium Web Light"/>
              <w:color w:val="2F4D83" w:themeColor="accent1"/>
            </w:rPr>
            <w:t>66807</w:t>
          </w:r>
        </w:p>
        <w:p w:rsidR="0026704F" w:rsidRPr="004C6926" w:rsidRDefault="006734E2" w:rsidP="006734E2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>KRS: 0000956756</w:t>
          </w: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1C5" w:rsidRDefault="008901C5" w:rsidP="000B41B0">
      <w:r>
        <w:separator/>
      </w:r>
    </w:p>
  </w:footnote>
  <w:footnote w:type="continuationSeparator" w:id="0">
    <w:p w:rsidR="008901C5" w:rsidRDefault="008901C5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p w:rsidR="007F5224" w:rsidRPr="00AF2ABA" w:rsidRDefault="007F5224" w:rsidP="00912BF6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5AA1AF0E" wp14:editId="07C5A373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065F5E"/>
    <w:multiLevelType w:val="hybridMultilevel"/>
    <w:tmpl w:val="73D064FC"/>
    <w:lvl w:ilvl="0" w:tplc="A7F86E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E73761"/>
    <w:multiLevelType w:val="hybridMultilevel"/>
    <w:tmpl w:val="38AEDD78"/>
    <w:lvl w:ilvl="0" w:tplc="EF9A71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C8B"/>
    <w:rsid w:val="00025B91"/>
    <w:rsid w:val="000351C9"/>
    <w:rsid w:val="00041475"/>
    <w:rsid w:val="00050281"/>
    <w:rsid w:val="00072A32"/>
    <w:rsid w:val="00095C8B"/>
    <w:rsid w:val="000B41B0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17C30"/>
    <w:rsid w:val="002226C2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413BD4"/>
    <w:rsid w:val="004222F8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C6926"/>
    <w:rsid w:val="004F65B6"/>
    <w:rsid w:val="00504B4F"/>
    <w:rsid w:val="0057314A"/>
    <w:rsid w:val="00592387"/>
    <w:rsid w:val="0059458F"/>
    <w:rsid w:val="005C2CED"/>
    <w:rsid w:val="005E0CA4"/>
    <w:rsid w:val="005E2813"/>
    <w:rsid w:val="00645015"/>
    <w:rsid w:val="00646008"/>
    <w:rsid w:val="006734D7"/>
    <w:rsid w:val="006734E2"/>
    <w:rsid w:val="0068217C"/>
    <w:rsid w:val="00686153"/>
    <w:rsid w:val="00694F80"/>
    <w:rsid w:val="006B33E7"/>
    <w:rsid w:val="006D637E"/>
    <w:rsid w:val="006E0938"/>
    <w:rsid w:val="00701889"/>
    <w:rsid w:val="00742E04"/>
    <w:rsid w:val="00751AD3"/>
    <w:rsid w:val="00777C9F"/>
    <w:rsid w:val="007A100D"/>
    <w:rsid w:val="007D08C1"/>
    <w:rsid w:val="007F5224"/>
    <w:rsid w:val="007F79E4"/>
    <w:rsid w:val="00825A1F"/>
    <w:rsid w:val="008322E8"/>
    <w:rsid w:val="008341BD"/>
    <w:rsid w:val="00870D47"/>
    <w:rsid w:val="008901C5"/>
    <w:rsid w:val="008B4047"/>
    <w:rsid w:val="008D1036"/>
    <w:rsid w:val="008F0110"/>
    <w:rsid w:val="008F0175"/>
    <w:rsid w:val="00912BF6"/>
    <w:rsid w:val="00932655"/>
    <w:rsid w:val="00932ACA"/>
    <w:rsid w:val="009335CA"/>
    <w:rsid w:val="009919C0"/>
    <w:rsid w:val="009C43DA"/>
    <w:rsid w:val="009E5EE1"/>
    <w:rsid w:val="00A17C89"/>
    <w:rsid w:val="00A363AE"/>
    <w:rsid w:val="00A51BBA"/>
    <w:rsid w:val="00A62B13"/>
    <w:rsid w:val="00A73279"/>
    <w:rsid w:val="00A762A0"/>
    <w:rsid w:val="00AB7693"/>
    <w:rsid w:val="00AC16BD"/>
    <w:rsid w:val="00AF2ABA"/>
    <w:rsid w:val="00AF5F9C"/>
    <w:rsid w:val="00B05C21"/>
    <w:rsid w:val="00B14706"/>
    <w:rsid w:val="00B5318B"/>
    <w:rsid w:val="00B66845"/>
    <w:rsid w:val="00BA317A"/>
    <w:rsid w:val="00BB3371"/>
    <w:rsid w:val="00BB659E"/>
    <w:rsid w:val="00C03235"/>
    <w:rsid w:val="00C278A5"/>
    <w:rsid w:val="00C340FD"/>
    <w:rsid w:val="00C5010B"/>
    <w:rsid w:val="00C66C17"/>
    <w:rsid w:val="00C9215A"/>
    <w:rsid w:val="00CB1354"/>
    <w:rsid w:val="00D07B0D"/>
    <w:rsid w:val="00D11416"/>
    <w:rsid w:val="00D31CBB"/>
    <w:rsid w:val="00D756A5"/>
    <w:rsid w:val="00DA269D"/>
    <w:rsid w:val="00DA43F4"/>
    <w:rsid w:val="00DD2C9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71550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6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6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_firm&#243;wka_ETISOFT%20KRAKOW%20Sp_k_pismo_1str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4.xml><?xml version="1.0" encoding="utf-8"?>
<ds:datastoreItem xmlns:ds="http://schemas.openxmlformats.org/officeDocument/2006/customXml" ds:itemID="{06EB81A9-CF41-42AA-82C2-4509499F2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_firmówka_ETISOFT KRAKOW Sp_k_pismo_1str.dotx</Template>
  <TotalTime>9</TotalTime>
  <Pages>1</Pages>
  <Words>322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4</cp:revision>
  <cp:lastPrinted>2021-02-26T13:16:00Z</cp:lastPrinted>
  <dcterms:created xsi:type="dcterms:W3CDTF">2024-03-08T09:38:00Z</dcterms:created>
  <dcterms:modified xsi:type="dcterms:W3CDTF">2024-03-08T09:49:00Z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