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0E2" w:rsidRPr="007060E2" w:rsidRDefault="008F6413" w:rsidP="007060E2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pacing w:before="150" w:after="150" w:line="240" w:lineRule="auto"/>
        <w:jc w:val="both"/>
      </w:pPr>
      <w:r w:rsidRPr="007060E2">
        <w:rPr>
          <w:rFonts w:ascii="Titillium Web" w:hAnsi="Titillium Web" w:cstheme="minorHAnsi"/>
          <w:color w:val="4F4F4F"/>
          <w:sz w:val="24"/>
        </w:rPr>
        <w:t xml:space="preserve">W przypadku produkcji towaru wykonywanego według </w:t>
      </w:r>
      <w:r w:rsidR="007060E2">
        <w:rPr>
          <w:rFonts w:ascii="Titillium Web" w:hAnsi="Titillium Web" w:cstheme="minorHAnsi"/>
          <w:color w:val="4F4F4F"/>
          <w:sz w:val="24"/>
        </w:rPr>
        <w:t xml:space="preserve">określonego </w:t>
      </w:r>
      <w:r w:rsidR="00FF7DE0" w:rsidRPr="007060E2">
        <w:rPr>
          <w:rFonts w:ascii="Titillium Web" w:hAnsi="Titillium Web" w:cstheme="minorHAnsi"/>
          <w:color w:val="4F4F4F"/>
          <w:sz w:val="24"/>
        </w:rPr>
        <w:t>projektu</w:t>
      </w:r>
      <w:r w:rsidR="007060E2">
        <w:rPr>
          <w:rFonts w:ascii="Titillium Web" w:hAnsi="Titillium Web" w:cstheme="minorHAnsi"/>
          <w:color w:val="4F4F4F"/>
          <w:sz w:val="24"/>
        </w:rPr>
        <w:t xml:space="preserve"> i specyfikacji, </w:t>
      </w:r>
      <w:r w:rsidRPr="007060E2">
        <w:rPr>
          <w:rFonts w:ascii="Titillium Web" w:hAnsi="Titillium Web" w:cstheme="minorHAnsi"/>
          <w:color w:val="4F4F4F"/>
          <w:sz w:val="24"/>
        </w:rPr>
        <w:t>wymagana</w:t>
      </w:r>
      <w:r w:rsidRPr="007060E2">
        <w:rPr>
          <w:rFonts w:ascii="Titillium Web" w:hAnsi="Titillium Web" w:cstheme="minorHAnsi"/>
          <w:color w:val="4F4F4F"/>
          <w:sz w:val="24"/>
        </w:rPr>
        <w:t xml:space="preserve"> jest </w:t>
      </w:r>
      <w:r w:rsidRPr="007060E2">
        <w:rPr>
          <w:rFonts w:ascii="Titillium Web" w:hAnsi="Titillium Web" w:cstheme="minorHAnsi"/>
          <w:color w:val="4F4F4F"/>
          <w:sz w:val="24"/>
        </w:rPr>
        <w:t xml:space="preserve">pisemna </w:t>
      </w:r>
      <w:r w:rsidRPr="007060E2">
        <w:rPr>
          <w:rFonts w:ascii="Titillium Web" w:hAnsi="Titillium Web" w:cstheme="minorHAnsi"/>
          <w:color w:val="4F4F4F"/>
          <w:sz w:val="24"/>
        </w:rPr>
        <w:t>akceptacja</w:t>
      </w:r>
      <w:r w:rsidRPr="007060E2">
        <w:rPr>
          <w:rFonts w:ascii="Titillium Web" w:hAnsi="Titillium Web" w:cstheme="minorHAnsi"/>
          <w:color w:val="4F4F4F"/>
          <w:sz w:val="24"/>
        </w:rPr>
        <w:t xml:space="preserve"> Nabywcy </w:t>
      </w:r>
      <w:r w:rsidRPr="007060E2">
        <w:rPr>
          <w:rFonts w:ascii="Titillium Web" w:hAnsi="Titillium Web" w:cstheme="minorHAnsi"/>
          <w:color w:val="4F4F4F"/>
          <w:sz w:val="24"/>
        </w:rPr>
        <w:t>Karty Wzor</w:t>
      </w:r>
      <w:r w:rsidR="007060E2" w:rsidRPr="007060E2">
        <w:rPr>
          <w:rFonts w:ascii="Titillium Web" w:hAnsi="Titillium Web" w:cstheme="minorHAnsi"/>
          <w:color w:val="4F4F4F"/>
          <w:sz w:val="24"/>
        </w:rPr>
        <w:t>u</w:t>
      </w:r>
      <w:r w:rsidRPr="007060E2">
        <w:rPr>
          <w:rFonts w:ascii="Titillium Web" w:hAnsi="Titillium Web" w:cstheme="minorHAnsi"/>
          <w:color w:val="4F4F4F"/>
          <w:sz w:val="24"/>
        </w:rPr>
        <w:t xml:space="preserve">, </w:t>
      </w:r>
      <w:r w:rsidRPr="007060E2">
        <w:rPr>
          <w:rFonts w:ascii="Titillium Web" w:hAnsi="Titillium Web" w:cstheme="minorHAnsi"/>
          <w:color w:val="4F4F4F"/>
          <w:sz w:val="24"/>
        </w:rPr>
        <w:t xml:space="preserve">przesłanej drogą elektroniczną przez Sprzedającego. Karta Wzoru </w:t>
      </w:r>
      <w:r w:rsidRPr="007060E2">
        <w:rPr>
          <w:rFonts w:ascii="Titillium Web" w:hAnsi="Titillium Web" w:cstheme="minorHAnsi"/>
          <w:color w:val="4F4F4F"/>
          <w:sz w:val="24"/>
        </w:rPr>
        <w:t xml:space="preserve">zawiera </w:t>
      </w:r>
      <w:r w:rsidR="00FF7DE0" w:rsidRPr="007060E2">
        <w:rPr>
          <w:rFonts w:ascii="Titillium Web" w:hAnsi="Titillium Web" w:cstheme="minorHAnsi"/>
          <w:color w:val="4F4F4F"/>
          <w:sz w:val="24"/>
        </w:rPr>
        <w:t xml:space="preserve">określenie </w:t>
      </w:r>
      <w:r w:rsidRPr="007060E2">
        <w:rPr>
          <w:rFonts w:ascii="Titillium Web" w:hAnsi="Titillium Web" w:cstheme="minorHAnsi"/>
          <w:color w:val="4F4F4F"/>
          <w:sz w:val="24"/>
        </w:rPr>
        <w:t>wymiar</w:t>
      </w:r>
      <w:r w:rsidR="00FF7DE0" w:rsidRPr="007060E2">
        <w:rPr>
          <w:rFonts w:ascii="Titillium Web" w:hAnsi="Titillium Web" w:cstheme="minorHAnsi"/>
          <w:color w:val="4F4F4F"/>
          <w:sz w:val="24"/>
        </w:rPr>
        <w:t>u</w:t>
      </w:r>
      <w:r w:rsidRPr="007060E2">
        <w:rPr>
          <w:rFonts w:ascii="Titillium Web" w:hAnsi="Titillium Web" w:cstheme="minorHAnsi"/>
          <w:color w:val="4F4F4F"/>
          <w:sz w:val="24"/>
        </w:rPr>
        <w:t xml:space="preserve"> etykiety, rozmieszczenie elementów graficznych i tekstów oraz kolorystykę</w:t>
      </w:r>
      <w:r w:rsidRPr="007060E2">
        <w:rPr>
          <w:rFonts w:ascii="Titillium Web" w:hAnsi="Titillium Web" w:cstheme="minorHAnsi"/>
          <w:color w:val="4F4F4F"/>
          <w:sz w:val="24"/>
        </w:rPr>
        <w:t>. Po akceptacji Karty Wzor</w:t>
      </w:r>
      <w:r w:rsidRPr="007060E2">
        <w:rPr>
          <w:rFonts w:ascii="Titillium Web" w:hAnsi="Titillium Web" w:cstheme="minorHAnsi"/>
          <w:color w:val="4F4F4F"/>
          <w:sz w:val="24"/>
        </w:rPr>
        <w:t>u</w:t>
      </w:r>
      <w:r w:rsidR="000A7767" w:rsidRPr="007060E2">
        <w:rPr>
          <w:rFonts w:ascii="Titillium Web" w:hAnsi="Titillium Web" w:cstheme="minorHAnsi"/>
          <w:color w:val="4F4F4F"/>
          <w:sz w:val="24"/>
        </w:rPr>
        <w:t xml:space="preserve"> przez Nabywcę</w:t>
      </w:r>
      <w:r w:rsidRPr="007060E2">
        <w:rPr>
          <w:rFonts w:ascii="Titillium Web" w:hAnsi="Titillium Web" w:cstheme="minorHAnsi"/>
          <w:color w:val="4F4F4F"/>
        </w:rPr>
        <w:t xml:space="preserve"> </w:t>
      </w:r>
      <w:r w:rsidR="000A7767" w:rsidRPr="007060E2">
        <w:rPr>
          <w:rFonts w:ascii="Titillium Web" w:hAnsi="Titillium Web" w:cstheme="minorHAnsi"/>
          <w:color w:val="4F4F4F"/>
          <w:sz w:val="24"/>
        </w:rPr>
        <w:t xml:space="preserve">Sprzedający rozpoczyna proces produkcyjny, dlatego </w:t>
      </w:r>
      <w:r w:rsidR="00FF7DE0" w:rsidRPr="007060E2">
        <w:rPr>
          <w:rFonts w:ascii="Titillium Web" w:hAnsi="Titillium Web" w:cstheme="minorHAnsi"/>
          <w:color w:val="4F4F4F"/>
          <w:sz w:val="24"/>
        </w:rPr>
        <w:t xml:space="preserve">wszelkie zmiany </w:t>
      </w:r>
      <w:r w:rsidR="00EE6312">
        <w:rPr>
          <w:rFonts w:ascii="Titillium Web" w:hAnsi="Titillium Web" w:cstheme="minorHAnsi"/>
          <w:color w:val="4F4F4F"/>
          <w:sz w:val="24"/>
        </w:rPr>
        <w:t>nie będą mogły być wprowadzone. Za błędy niezauważone</w:t>
      </w:r>
      <w:r w:rsidR="007F7990">
        <w:rPr>
          <w:rFonts w:ascii="Titillium Web" w:hAnsi="Titillium Web" w:cstheme="minorHAnsi"/>
          <w:color w:val="4F4F4F"/>
          <w:sz w:val="24"/>
        </w:rPr>
        <w:t xml:space="preserve"> przez Nabywcę</w:t>
      </w:r>
      <w:bookmarkStart w:id="0" w:name="_GoBack"/>
      <w:bookmarkEnd w:id="0"/>
      <w:r w:rsidR="00EE6312">
        <w:rPr>
          <w:rFonts w:ascii="Titillium Web" w:hAnsi="Titillium Web" w:cstheme="minorHAnsi"/>
          <w:color w:val="4F4F4F"/>
          <w:sz w:val="24"/>
        </w:rPr>
        <w:t xml:space="preserve"> w procesie akceptacji Sprzedający nie ponosi odpowiedzialności.</w:t>
      </w:r>
    </w:p>
    <w:p w:rsidR="007060E2" w:rsidRPr="007060E2" w:rsidRDefault="007060E2" w:rsidP="007060E2">
      <w:pPr>
        <w:pStyle w:val="Akapitzlist"/>
        <w:spacing w:before="150" w:after="150" w:line="240" w:lineRule="auto"/>
        <w:jc w:val="both"/>
      </w:pPr>
    </w:p>
    <w:p w:rsidR="007060E2" w:rsidRPr="007060E2" w:rsidRDefault="007060E2" w:rsidP="007060E2">
      <w:pPr>
        <w:pStyle w:val="Akapitzlist"/>
        <w:spacing w:before="150" w:after="150" w:line="240" w:lineRule="auto"/>
        <w:jc w:val="both"/>
      </w:pPr>
    </w:p>
    <w:p w:rsidR="007060E2" w:rsidRPr="007060E2" w:rsidRDefault="007060E2" w:rsidP="007060E2">
      <w:pPr>
        <w:tabs>
          <w:tab w:val="num" w:pos="284"/>
        </w:tabs>
        <w:spacing w:before="150" w:after="150" w:line="240" w:lineRule="auto"/>
        <w:jc w:val="both"/>
      </w:pPr>
    </w:p>
    <w:sectPr w:rsidR="007060E2" w:rsidRPr="00706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83979"/>
    <w:multiLevelType w:val="multilevel"/>
    <w:tmpl w:val="0AAEF6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413"/>
    <w:rsid w:val="000A7767"/>
    <w:rsid w:val="005C3FD2"/>
    <w:rsid w:val="007060E2"/>
    <w:rsid w:val="007F7990"/>
    <w:rsid w:val="008F6413"/>
    <w:rsid w:val="00EE6312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6413"/>
    <w:pPr>
      <w:spacing w:after="0"/>
      <w:ind w:left="720"/>
      <w:contextualSpacing/>
    </w:pPr>
    <w:rPr>
      <w:rFonts w:ascii="Calibri" w:eastAsia="Times New Roman" w:hAnsi="Calibri" w:cs="Times New Roman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6413"/>
    <w:pPr>
      <w:spacing w:after="0"/>
      <w:ind w:left="720"/>
      <w:contextualSpacing/>
    </w:pPr>
    <w:rPr>
      <w:rFonts w:ascii="Calibri" w:eastAsia="Times New Roman" w:hAnsi="Calibri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78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2</cp:revision>
  <dcterms:created xsi:type="dcterms:W3CDTF">2023-02-16T09:12:00Z</dcterms:created>
  <dcterms:modified xsi:type="dcterms:W3CDTF">2023-02-16T12:15:00Z</dcterms:modified>
</cp:coreProperties>
</file>